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8EAE3" w14:textId="00503890" w:rsidR="00B04C72" w:rsidRPr="00D86085" w:rsidRDefault="002D1AB6" w:rsidP="00BF3C2A">
      <w:pPr>
        <w:jc w:val="center"/>
        <w:rPr>
          <w:rFonts w:asciiTheme="minorHAnsi" w:hAnsiTheme="minorHAnsi" w:cstheme="minorHAnsi"/>
          <w:sz w:val="32"/>
          <w:szCs w:val="32"/>
        </w:rPr>
      </w:pPr>
      <w:r w:rsidRPr="00D86085">
        <w:rPr>
          <w:rFonts w:asciiTheme="minorHAnsi" w:hAnsiTheme="minorHAnsi" w:cstheme="minorHAnsi"/>
          <w:sz w:val="32"/>
          <w:szCs w:val="32"/>
        </w:rPr>
        <w:t>The Criminal Conspiracy of Coronavirus</w:t>
      </w:r>
    </w:p>
    <w:p w14:paraId="20969D3E" w14:textId="4D1B1E74" w:rsidR="002D1AB6" w:rsidRPr="00D86085" w:rsidRDefault="002D1AB6" w:rsidP="00BF3C2A">
      <w:pPr>
        <w:jc w:val="center"/>
        <w:rPr>
          <w:rFonts w:asciiTheme="minorHAnsi" w:hAnsiTheme="minorHAnsi" w:cstheme="minorHAnsi"/>
          <w:sz w:val="32"/>
          <w:szCs w:val="32"/>
        </w:rPr>
      </w:pPr>
    </w:p>
    <w:p w14:paraId="246C2295" w14:textId="294E88E9" w:rsidR="002D1AB6" w:rsidRPr="00D86085" w:rsidRDefault="002D1AB6" w:rsidP="00BF3C2A">
      <w:pPr>
        <w:jc w:val="center"/>
        <w:rPr>
          <w:rFonts w:asciiTheme="minorHAnsi" w:hAnsiTheme="minorHAnsi" w:cstheme="minorHAnsi"/>
          <w:sz w:val="32"/>
          <w:szCs w:val="32"/>
        </w:rPr>
      </w:pPr>
      <w:r w:rsidRPr="00D86085">
        <w:rPr>
          <w:rFonts w:asciiTheme="minorHAnsi" w:hAnsiTheme="minorHAnsi" w:cstheme="minorHAnsi"/>
          <w:sz w:val="32"/>
          <w:szCs w:val="32"/>
        </w:rPr>
        <w:t>Dr. David E. Martin</w:t>
      </w:r>
    </w:p>
    <w:p w14:paraId="44E71EB2" w14:textId="71917A83" w:rsidR="002D1AB6" w:rsidRPr="00D86085" w:rsidRDefault="002D1AB6">
      <w:pPr>
        <w:rPr>
          <w:rFonts w:asciiTheme="minorHAnsi" w:hAnsiTheme="minorHAnsi" w:cstheme="minorHAnsi"/>
          <w:sz w:val="22"/>
        </w:rPr>
      </w:pPr>
    </w:p>
    <w:p w14:paraId="7515EA59" w14:textId="52FC0358" w:rsidR="002D1AB6" w:rsidRPr="00D86085" w:rsidRDefault="002D1AB6">
      <w:pPr>
        <w:rPr>
          <w:rFonts w:asciiTheme="minorHAnsi" w:hAnsiTheme="minorHAnsi" w:cstheme="minorHAnsi"/>
          <w:sz w:val="22"/>
        </w:rPr>
      </w:pPr>
      <w:r w:rsidRPr="00D86085">
        <w:rPr>
          <w:rFonts w:asciiTheme="minorHAnsi" w:hAnsiTheme="minorHAnsi" w:cstheme="minorHAnsi"/>
          <w:sz w:val="22"/>
        </w:rPr>
        <w:t xml:space="preserve">Throughout the decade of the 90s Pfizer sought to research, </w:t>
      </w:r>
      <w:proofErr w:type="gramStart"/>
      <w:r w:rsidRPr="00D86085">
        <w:rPr>
          <w:rFonts w:asciiTheme="minorHAnsi" w:hAnsiTheme="minorHAnsi" w:cstheme="minorHAnsi"/>
          <w:sz w:val="22"/>
        </w:rPr>
        <w:t>develop</w:t>
      </w:r>
      <w:proofErr w:type="gramEnd"/>
      <w:r w:rsidRPr="00D86085">
        <w:rPr>
          <w:rFonts w:asciiTheme="minorHAnsi" w:hAnsiTheme="minorHAnsi" w:cstheme="minorHAnsi"/>
          <w:sz w:val="22"/>
        </w:rPr>
        <w:t xml:space="preserve"> and patent a coronavirus</w:t>
      </w:r>
      <w:r w:rsidR="003E6D29" w:rsidRPr="00D86085">
        <w:rPr>
          <w:rFonts w:asciiTheme="minorHAnsi" w:hAnsiTheme="minorHAnsi" w:cstheme="minorHAnsi"/>
          <w:sz w:val="22"/>
        </w:rPr>
        <w:t xml:space="preserve"> (</w:t>
      </w:r>
      <w:proofErr w:type="spellStart"/>
      <w:r w:rsidR="003E6D29" w:rsidRPr="00D86085">
        <w:rPr>
          <w:rFonts w:asciiTheme="minorHAnsi" w:hAnsiTheme="minorHAnsi" w:cstheme="minorHAnsi"/>
          <w:sz w:val="22"/>
        </w:rPr>
        <w:t>CoV</w:t>
      </w:r>
      <w:proofErr w:type="spellEnd"/>
      <w:r w:rsidR="003E6D29" w:rsidRPr="00D86085">
        <w:rPr>
          <w:rFonts w:asciiTheme="minorHAnsi" w:hAnsiTheme="minorHAnsi" w:cstheme="minorHAnsi"/>
          <w:sz w:val="22"/>
        </w:rPr>
        <w:t>)</w:t>
      </w:r>
      <w:r w:rsidRPr="00D86085">
        <w:rPr>
          <w:rFonts w:asciiTheme="minorHAnsi" w:hAnsiTheme="minorHAnsi" w:cstheme="minorHAnsi"/>
          <w:sz w:val="22"/>
        </w:rPr>
        <w:t xml:space="preserve"> vaccine.  </w:t>
      </w:r>
      <w:r w:rsidR="00E14268" w:rsidRPr="00D86085">
        <w:rPr>
          <w:rFonts w:asciiTheme="minorHAnsi" w:hAnsiTheme="minorHAnsi" w:cstheme="minorHAnsi"/>
          <w:sz w:val="22"/>
        </w:rPr>
        <w:t>Their first patent filing specifically recognizing the S-protein as the immunologic target for vaccines was filed on November 14, 1990 (U.S. Patent 6,372,224)</w:t>
      </w:r>
      <w:proofErr w:type="gramStart"/>
      <w:r w:rsidR="00E14268" w:rsidRPr="00D86085">
        <w:rPr>
          <w:rFonts w:asciiTheme="minorHAnsi" w:hAnsiTheme="minorHAnsi" w:cstheme="minorHAnsi"/>
          <w:sz w:val="22"/>
        </w:rPr>
        <w:t xml:space="preserve">.  </w:t>
      </w:r>
      <w:proofErr w:type="gramEnd"/>
      <w:r w:rsidR="00E14268" w:rsidRPr="00D86085">
        <w:rPr>
          <w:rFonts w:asciiTheme="minorHAnsi" w:hAnsiTheme="minorHAnsi" w:cstheme="minorHAnsi"/>
          <w:sz w:val="22"/>
        </w:rPr>
        <w:t>With a focus on swine and canine gastroenteritis, these efforts showed little commercial promise and the patent was abandoned in April of 2000</w:t>
      </w:r>
      <w:proofErr w:type="gramStart"/>
      <w:r w:rsidR="00E14268" w:rsidRPr="00D86085">
        <w:rPr>
          <w:rFonts w:asciiTheme="minorHAnsi" w:hAnsiTheme="minorHAnsi" w:cstheme="minorHAnsi"/>
          <w:sz w:val="22"/>
        </w:rPr>
        <w:t xml:space="preserve">.  </w:t>
      </w:r>
      <w:proofErr w:type="gramEnd"/>
      <w:r w:rsidR="00E14268" w:rsidRPr="00D86085">
        <w:rPr>
          <w:rFonts w:asciiTheme="minorHAnsi" w:hAnsiTheme="minorHAnsi" w:cstheme="minorHAnsi"/>
          <w:sz w:val="22"/>
        </w:rPr>
        <w:t xml:space="preserve">During the same period, the National Institute for </w:t>
      </w:r>
      <w:proofErr w:type="gramStart"/>
      <w:r w:rsidR="00E14268" w:rsidRPr="00D86085">
        <w:rPr>
          <w:rFonts w:asciiTheme="minorHAnsi" w:hAnsiTheme="minorHAnsi" w:cstheme="minorHAnsi"/>
          <w:sz w:val="22"/>
        </w:rPr>
        <w:t>Allergy</w:t>
      </w:r>
      <w:proofErr w:type="gramEnd"/>
      <w:r w:rsidR="00E14268" w:rsidRPr="00D86085">
        <w:rPr>
          <w:rFonts w:asciiTheme="minorHAnsi" w:hAnsiTheme="minorHAnsi" w:cstheme="minorHAnsi"/>
          <w:sz w:val="22"/>
        </w:rPr>
        <w:t xml:space="preserve"> and Infectious Disease (NIAID) under the </w:t>
      </w:r>
      <w:r w:rsidR="00275AFD" w:rsidRPr="00D86085">
        <w:rPr>
          <w:rFonts w:asciiTheme="minorHAnsi" w:hAnsiTheme="minorHAnsi" w:cstheme="minorHAnsi"/>
          <w:sz w:val="22"/>
        </w:rPr>
        <w:t>vaccine obsession of Dr. Anthony Fauci, funded Professor Ralph Baric at the University of North Carolina Chapel Hill.</w:t>
      </w:r>
      <w:r w:rsidR="00C62B92" w:rsidRPr="00D86085">
        <w:rPr>
          <w:rFonts w:asciiTheme="minorHAnsi" w:hAnsiTheme="minorHAnsi" w:cstheme="minorHAnsi"/>
          <w:sz w:val="22"/>
        </w:rPr>
        <w:t xml:space="preserve">  This </w:t>
      </w:r>
      <w:r w:rsidR="009F6B0F" w:rsidRPr="00D86085">
        <w:rPr>
          <w:rFonts w:asciiTheme="minorHAnsi" w:hAnsiTheme="minorHAnsi" w:cstheme="minorHAnsi"/>
          <w:sz w:val="22"/>
        </w:rPr>
        <w:t>program designed</w:t>
      </w:r>
      <w:r w:rsidR="00C62B92" w:rsidRPr="00D86085">
        <w:rPr>
          <w:rFonts w:asciiTheme="minorHAnsi" w:hAnsiTheme="minorHAnsi" w:cstheme="minorHAnsi"/>
          <w:sz w:val="22"/>
        </w:rPr>
        <w:t xml:space="preserve"> to</w:t>
      </w:r>
      <w:r w:rsidR="009F6B0F" w:rsidRPr="00D86085">
        <w:rPr>
          <w:rFonts w:asciiTheme="minorHAnsi" w:hAnsiTheme="minorHAnsi" w:cstheme="minorHAnsi"/>
          <w:sz w:val="22"/>
        </w:rPr>
        <w:t xml:space="preserve"> commercially</w:t>
      </w:r>
      <w:r w:rsidR="00C62B92" w:rsidRPr="00D86085">
        <w:rPr>
          <w:rFonts w:asciiTheme="minorHAnsi" w:hAnsiTheme="minorHAnsi" w:cstheme="minorHAnsi"/>
          <w:sz w:val="22"/>
        </w:rPr>
        <w:t xml:space="preserve"> weaponize </w:t>
      </w:r>
      <w:r w:rsidR="009F6B0F" w:rsidRPr="00D86085">
        <w:rPr>
          <w:rFonts w:asciiTheme="minorHAnsi" w:hAnsiTheme="minorHAnsi" w:cstheme="minorHAnsi"/>
          <w:sz w:val="22"/>
        </w:rPr>
        <w:t xml:space="preserve">a naturally occurring toxin is the beginning of the criminal conspiracy and </w:t>
      </w:r>
      <w:r w:rsidR="009F6B0F" w:rsidRPr="00D86085">
        <w:rPr>
          <w:rFonts w:asciiTheme="minorHAnsi" w:hAnsiTheme="minorHAnsi" w:cstheme="minorHAnsi"/>
          <w:b/>
          <w:bCs/>
          <w:sz w:val="22"/>
          <w:u w:val="single"/>
        </w:rPr>
        <w:t>violates 18 USC § 175, 15 USC § 1-</w:t>
      </w:r>
      <w:proofErr w:type="gramStart"/>
      <w:r w:rsidR="009F6B0F" w:rsidRPr="00D86085">
        <w:rPr>
          <w:rFonts w:asciiTheme="minorHAnsi" w:hAnsiTheme="minorHAnsi" w:cstheme="minorHAnsi"/>
          <w:b/>
          <w:bCs/>
          <w:sz w:val="22"/>
          <w:u w:val="single"/>
        </w:rPr>
        <w:t>3,  and</w:t>
      </w:r>
      <w:proofErr w:type="gramEnd"/>
      <w:r w:rsidR="009F6B0F" w:rsidRPr="00D86085">
        <w:rPr>
          <w:rFonts w:asciiTheme="minorHAnsi" w:hAnsiTheme="minorHAnsi" w:cstheme="minorHAnsi"/>
          <w:b/>
          <w:bCs/>
          <w:sz w:val="22"/>
          <w:u w:val="single"/>
        </w:rPr>
        <w:t xml:space="preserve"> 15 USC § 8</w:t>
      </w:r>
      <w:r w:rsidR="009F6B0F" w:rsidRPr="00D86085">
        <w:rPr>
          <w:rFonts w:asciiTheme="minorHAnsi" w:hAnsiTheme="minorHAnsi" w:cstheme="minorHAnsi"/>
          <w:sz w:val="22"/>
        </w:rPr>
        <w:t>)</w:t>
      </w:r>
      <w:r w:rsidR="00275AFD" w:rsidRPr="00D86085">
        <w:rPr>
          <w:rFonts w:asciiTheme="minorHAnsi" w:hAnsiTheme="minorHAnsi" w:cstheme="minorHAnsi"/>
          <w:sz w:val="22"/>
        </w:rPr>
        <w:t xml:space="preserve">  Dr. </w:t>
      </w:r>
      <w:proofErr w:type="spellStart"/>
      <w:r w:rsidR="00275AFD" w:rsidRPr="00D86085">
        <w:rPr>
          <w:rFonts w:asciiTheme="minorHAnsi" w:hAnsiTheme="minorHAnsi" w:cstheme="minorHAnsi"/>
          <w:sz w:val="22"/>
        </w:rPr>
        <w:t>Baric’s</w:t>
      </w:r>
      <w:proofErr w:type="spellEnd"/>
      <w:r w:rsidR="00275AFD" w:rsidRPr="00D86085">
        <w:rPr>
          <w:rFonts w:asciiTheme="minorHAnsi" w:hAnsiTheme="minorHAnsi" w:cstheme="minorHAnsi"/>
          <w:sz w:val="22"/>
        </w:rPr>
        <w:t xml:space="preserve"> expertise was understanding how to modify components of the coronavirus associated with cardiomyopathy.  NIAID Grant</w:t>
      </w:r>
      <w:r w:rsidR="003E6D29" w:rsidRPr="00D86085">
        <w:rPr>
          <w:rFonts w:asciiTheme="minorHAnsi" w:hAnsiTheme="minorHAnsi" w:cstheme="minorHAnsi"/>
          <w:sz w:val="22"/>
        </w:rPr>
        <w:t>s</w:t>
      </w:r>
      <w:r w:rsidR="00275AFD" w:rsidRPr="00D86085">
        <w:rPr>
          <w:rFonts w:asciiTheme="minorHAnsi" w:hAnsiTheme="minorHAnsi" w:cstheme="minorHAnsi"/>
          <w:sz w:val="22"/>
        </w:rPr>
        <w:t xml:space="preserve"> AI 23946</w:t>
      </w:r>
      <w:r w:rsidR="00F05311" w:rsidRPr="00D86085">
        <w:rPr>
          <w:rFonts w:asciiTheme="minorHAnsi" w:hAnsiTheme="minorHAnsi" w:cstheme="minorHAnsi"/>
          <w:sz w:val="22"/>
        </w:rPr>
        <w:t xml:space="preserve"> and </w:t>
      </w:r>
      <w:r w:rsidR="00F05311" w:rsidRPr="00D86085">
        <w:rPr>
          <w:rFonts w:asciiTheme="minorHAnsi" w:hAnsiTheme="minorHAnsi" w:cstheme="minorHAnsi"/>
          <w:color w:val="000000"/>
          <w:sz w:val="22"/>
          <w:shd w:val="clear" w:color="auto" w:fill="FFFFFF"/>
        </w:rPr>
        <w:t>GM63228</w:t>
      </w:r>
      <w:r w:rsidR="00275AFD" w:rsidRPr="00D86085">
        <w:rPr>
          <w:rFonts w:asciiTheme="minorHAnsi" w:hAnsiTheme="minorHAnsi" w:cstheme="minorHAnsi"/>
          <w:sz w:val="22"/>
        </w:rPr>
        <w:t xml:space="preserve"> (leading to patent U.S. 7,279,327 “Methods for Producing Recombinant Coronavirus”) was the NIH’s first Gain-of-Function</w:t>
      </w:r>
      <w:r w:rsidR="003E6D29" w:rsidRPr="00D86085">
        <w:rPr>
          <w:rFonts w:asciiTheme="minorHAnsi" w:hAnsiTheme="minorHAnsi" w:cstheme="minorHAnsi"/>
          <w:sz w:val="22"/>
        </w:rPr>
        <w:t xml:space="preserve"> (GOF)</w:t>
      </w:r>
      <w:r w:rsidR="00275AFD" w:rsidRPr="00D86085">
        <w:rPr>
          <w:rFonts w:asciiTheme="minorHAnsi" w:hAnsiTheme="minorHAnsi" w:cstheme="minorHAnsi"/>
          <w:sz w:val="22"/>
        </w:rPr>
        <w:t xml:space="preserve"> project in which Dr. Baric created an “infectious, replication defective” clone of recombinant coronavirus</w:t>
      </w:r>
      <w:proofErr w:type="gramStart"/>
      <w:r w:rsidR="00275AFD" w:rsidRPr="00D86085">
        <w:rPr>
          <w:rFonts w:asciiTheme="minorHAnsi" w:hAnsiTheme="minorHAnsi" w:cstheme="minorHAnsi"/>
          <w:sz w:val="22"/>
        </w:rPr>
        <w:t>.</w:t>
      </w:r>
      <w:r w:rsidR="00F05311" w:rsidRPr="00D86085">
        <w:rPr>
          <w:rFonts w:asciiTheme="minorHAnsi" w:hAnsiTheme="minorHAnsi" w:cstheme="minorHAnsi"/>
          <w:sz w:val="22"/>
        </w:rPr>
        <w:t xml:space="preserve">  </w:t>
      </w:r>
      <w:proofErr w:type="gramEnd"/>
      <w:r w:rsidR="00F05311" w:rsidRPr="00D86085">
        <w:rPr>
          <w:rFonts w:asciiTheme="minorHAnsi" w:hAnsiTheme="minorHAnsi" w:cstheme="minorHAnsi"/>
          <w:sz w:val="22"/>
        </w:rPr>
        <w:t>This work clearly defined a means of making a natural pathogen more harmful to humans by manipulating the Spike Protein and other receptor targets</w:t>
      </w:r>
      <w:proofErr w:type="gramStart"/>
      <w:r w:rsidR="00F05311" w:rsidRPr="00D86085">
        <w:rPr>
          <w:rFonts w:asciiTheme="minorHAnsi" w:hAnsiTheme="minorHAnsi" w:cstheme="minorHAnsi"/>
          <w:sz w:val="22"/>
        </w:rPr>
        <w:t>.</w:t>
      </w:r>
      <w:r w:rsidR="00275AFD" w:rsidRPr="00D86085">
        <w:rPr>
          <w:rFonts w:asciiTheme="minorHAnsi" w:hAnsiTheme="minorHAnsi" w:cstheme="minorHAnsi"/>
          <w:sz w:val="22"/>
        </w:rPr>
        <w:t xml:space="preserve">  </w:t>
      </w:r>
      <w:proofErr w:type="gramEnd"/>
      <w:r w:rsidR="003E6D29" w:rsidRPr="00D86085">
        <w:rPr>
          <w:rFonts w:asciiTheme="minorHAnsi" w:hAnsiTheme="minorHAnsi" w:cstheme="minorHAnsi"/>
          <w:sz w:val="22"/>
        </w:rPr>
        <w:t xml:space="preserve">A year after filing a patent on this GOF </w:t>
      </w:r>
      <w:proofErr w:type="spellStart"/>
      <w:r w:rsidR="003E6D29" w:rsidRPr="00D86085">
        <w:rPr>
          <w:rFonts w:asciiTheme="minorHAnsi" w:hAnsiTheme="minorHAnsi" w:cstheme="minorHAnsi"/>
          <w:sz w:val="22"/>
        </w:rPr>
        <w:t>CoV</w:t>
      </w:r>
      <w:proofErr w:type="spellEnd"/>
      <w:r w:rsidR="003E6D29" w:rsidRPr="00D86085">
        <w:rPr>
          <w:rFonts w:asciiTheme="minorHAnsi" w:hAnsiTheme="minorHAnsi" w:cstheme="minorHAnsi"/>
          <w:sz w:val="22"/>
        </w:rPr>
        <w:t xml:space="preserve">, the world experienced the first outbreak of </w:t>
      </w:r>
      <w:proofErr w:type="gramStart"/>
      <w:r w:rsidR="003E6D29" w:rsidRPr="00D86085">
        <w:rPr>
          <w:rFonts w:asciiTheme="minorHAnsi" w:hAnsiTheme="minorHAnsi" w:cstheme="minorHAnsi"/>
          <w:sz w:val="22"/>
        </w:rPr>
        <w:t>Severe Acute Respiratory Syndrome</w:t>
      </w:r>
      <w:proofErr w:type="gramEnd"/>
      <w:r w:rsidR="003E6D29" w:rsidRPr="00D86085">
        <w:rPr>
          <w:rFonts w:asciiTheme="minorHAnsi" w:hAnsiTheme="minorHAnsi" w:cstheme="minorHAnsi"/>
          <w:sz w:val="22"/>
        </w:rPr>
        <w:t xml:space="preserve"> (SARS).</w:t>
      </w:r>
    </w:p>
    <w:p w14:paraId="5F96785F" w14:textId="2A94BD0A" w:rsidR="003E6D29" w:rsidRPr="00D86085" w:rsidRDefault="003E6D29">
      <w:pPr>
        <w:rPr>
          <w:rFonts w:asciiTheme="minorHAnsi" w:hAnsiTheme="minorHAnsi" w:cstheme="minorHAnsi"/>
          <w:sz w:val="22"/>
        </w:rPr>
      </w:pPr>
    </w:p>
    <w:p w14:paraId="4D3F65B9" w14:textId="6AE9D736" w:rsidR="003E6D29" w:rsidRDefault="003E6D29">
      <w:pPr>
        <w:rPr>
          <w:rFonts w:asciiTheme="minorHAnsi" w:hAnsiTheme="minorHAnsi" w:cstheme="minorHAnsi"/>
          <w:sz w:val="22"/>
        </w:rPr>
      </w:pPr>
      <w:r w:rsidRPr="00D86085">
        <w:rPr>
          <w:rFonts w:asciiTheme="minorHAnsi" w:hAnsiTheme="minorHAnsi" w:cstheme="minorHAnsi"/>
          <w:sz w:val="22"/>
        </w:rPr>
        <w:t>Under the guise of responding to a public health emergency, the United States Centers for Disease Control and Prevention</w:t>
      </w:r>
      <w:r w:rsidR="00F05311" w:rsidRPr="00D86085">
        <w:rPr>
          <w:rFonts w:asciiTheme="minorHAnsi" w:hAnsiTheme="minorHAnsi" w:cstheme="minorHAnsi"/>
          <w:sz w:val="22"/>
        </w:rPr>
        <w:t xml:space="preserve"> (CDC)</w:t>
      </w:r>
      <w:r w:rsidRPr="00D86085">
        <w:rPr>
          <w:rFonts w:asciiTheme="minorHAnsi" w:hAnsiTheme="minorHAnsi" w:cstheme="minorHAnsi"/>
          <w:sz w:val="22"/>
        </w:rPr>
        <w:t xml:space="preserve"> filed a patent application on the genome of SARS </w:t>
      </w:r>
      <w:proofErr w:type="spellStart"/>
      <w:r w:rsidRPr="00D86085">
        <w:rPr>
          <w:rFonts w:asciiTheme="minorHAnsi" w:hAnsiTheme="minorHAnsi" w:cstheme="minorHAnsi"/>
          <w:sz w:val="22"/>
        </w:rPr>
        <w:t>CoV</w:t>
      </w:r>
      <w:proofErr w:type="spellEnd"/>
      <w:r w:rsidRPr="00D86085">
        <w:rPr>
          <w:rFonts w:asciiTheme="minorHAnsi" w:hAnsiTheme="minorHAnsi" w:cstheme="minorHAnsi"/>
          <w:sz w:val="22"/>
        </w:rPr>
        <w:t xml:space="preserve"> on April 25, 2003</w:t>
      </w:r>
      <w:proofErr w:type="gramStart"/>
      <w:r w:rsidRPr="00D86085">
        <w:rPr>
          <w:rFonts w:asciiTheme="minorHAnsi" w:hAnsiTheme="minorHAnsi" w:cstheme="minorHAnsi"/>
          <w:sz w:val="22"/>
        </w:rPr>
        <w:t xml:space="preserve">.  </w:t>
      </w:r>
      <w:proofErr w:type="gramEnd"/>
      <w:r w:rsidR="00F05311" w:rsidRPr="00D86085">
        <w:rPr>
          <w:rFonts w:asciiTheme="minorHAnsi" w:hAnsiTheme="minorHAnsi" w:cstheme="minorHAnsi"/>
          <w:sz w:val="22"/>
        </w:rPr>
        <w:t>Accessing and manipulating</w:t>
      </w:r>
      <w:r w:rsidRPr="00D86085">
        <w:rPr>
          <w:rFonts w:asciiTheme="minorHAnsi" w:hAnsiTheme="minorHAnsi" w:cstheme="minorHAnsi"/>
          <w:sz w:val="22"/>
        </w:rPr>
        <w:t xml:space="preserve"> the genomic data (which came from China making an “invention” claim by a U.S. entity illegal</w:t>
      </w:r>
      <w:r w:rsidR="00C62B92" w:rsidRPr="00D86085">
        <w:rPr>
          <w:rFonts w:asciiTheme="minorHAnsi" w:hAnsiTheme="minorHAnsi" w:cstheme="minorHAnsi"/>
          <w:sz w:val="22"/>
        </w:rPr>
        <w:t xml:space="preserve"> </w:t>
      </w:r>
      <w:r w:rsidR="00C62B92" w:rsidRPr="00D86085">
        <w:rPr>
          <w:rFonts w:asciiTheme="minorHAnsi" w:hAnsiTheme="minorHAnsi" w:cstheme="minorHAnsi"/>
          <w:b/>
          <w:bCs/>
          <w:sz w:val="22"/>
          <w:u w:val="single"/>
        </w:rPr>
        <w:t>violating 35 USC ng 35 USC §101</w:t>
      </w:r>
      <w:r w:rsidR="00BF3C2A" w:rsidRPr="00D86085">
        <w:rPr>
          <w:rFonts w:asciiTheme="minorHAnsi" w:hAnsiTheme="minorHAnsi" w:cstheme="minorHAnsi"/>
          <w:b/>
          <w:bCs/>
          <w:sz w:val="22"/>
          <w:u w:val="single"/>
        </w:rPr>
        <w:t>,</w:t>
      </w:r>
      <w:r w:rsidR="00C62B92" w:rsidRPr="00D86085">
        <w:rPr>
          <w:rFonts w:asciiTheme="minorHAnsi" w:hAnsiTheme="minorHAnsi" w:cstheme="minorHAnsi"/>
          <w:b/>
          <w:bCs/>
          <w:sz w:val="22"/>
          <w:u w:val="single"/>
        </w:rPr>
        <w:t xml:space="preserve"> 103</w:t>
      </w:r>
      <w:r w:rsidRPr="00D86085">
        <w:rPr>
          <w:rFonts w:asciiTheme="minorHAnsi" w:hAnsiTheme="minorHAnsi" w:cstheme="minorHAnsi"/>
          <w:sz w:val="22"/>
        </w:rPr>
        <w:t xml:space="preserve">), </w:t>
      </w:r>
      <w:r w:rsidR="00F05311" w:rsidRPr="00D86085">
        <w:rPr>
          <w:rFonts w:asciiTheme="minorHAnsi" w:hAnsiTheme="minorHAnsi" w:cstheme="minorHAnsi"/>
          <w:sz w:val="22"/>
        </w:rPr>
        <w:t xml:space="preserve">Dr. Baric, Dr. Fauci, and the CDC </w:t>
      </w:r>
      <w:r w:rsidR="00F05311" w:rsidRPr="00D86085">
        <w:rPr>
          <w:rFonts w:asciiTheme="minorHAnsi" w:hAnsiTheme="minorHAnsi" w:cstheme="minorHAnsi"/>
          <w:b/>
          <w:bCs/>
          <w:sz w:val="22"/>
          <w:u w:val="single"/>
        </w:rPr>
        <w:t>violated 18 USC § 175</w:t>
      </w:r>
      <w:r w:rsidR="00F05311" w:rsidRPr="00D86085">
        <w:rPr>
          <w:rFonts w:asciiTheme="minorHAnsi" w:hAnsiTheme="minorHAnsi" w:cstheme="minorHAnsi"/>
          <w:sz w:val="22"/>
        </w:rPr>
        <w:t xml:space="preserve"> (a felony)</w:t>
      </w:r>
      <w:proofErr w:type="gramStart"/>
      <w:r w:rsidR="00F05311" w:rsidRPr="00D86085">
        <w:rPr>
          <w:rFonts w:asciiTheme="minorHAnsi" w:hAnsiTheme="minorHAnsi" w:cstheme="minorHAnsi"/>
          <w:sz w:val="22"/>
        </w:rPr>
        <w:t xml:space="preserve">.  </w:t>
      </w:r>
      <w:proofErr w:type="gramEnd"/>
      <w:r w:rsidR="00F05311" w:rsidRPr="00D86085">
        <w:rPr>
          <w:rFonts w:asciiTheme="minorHAnsi" w:hAnsiTheme="minorHAnsi" w:cstheme="minorHAnsi"/>
          <w:sz w:val="22"/>
        </w:rPr>
        <w:t>One year earlier, Dr. Baric and his team had already filed a patent which clearly the pathogen CDC claimed as novel in 2003</w:t>
      </w:r>
      <w:proofErr w:type="gramStart"/>
      <w:r w:rsidR="00F05311" w:rsidRPr="00D86085">
        <w:rPr>
          <w:rFonts w:asciiTheme="minorHAnsi" w:hAnsiTheme="minorHAnsi" w:cstheme="minorHAnsi"/>
          <w:sz w:val="22"/>
        </w:rPr>
        <w:t xml:space="preserve">.  </w:t>
      </w:r>
      <w:proofErr w:type="gramEnd"/>
      <w:r w:rsidR="00F05311" w:rsidRPr="00D86085">
        <w:rPr>
          <w:rFonts w:asciiTheme="minorHAnsi" w:hAnsiTheme="minorHAnsi" w:cstheme="minorHAnsi"/>
          <w:sz w:val="22"/>
        </w:rPr>
        <w:t xml:space="preserve">Three days after filing a patent on the genome, NIH-funded Sequoia Pharmaceuticals filed a patent for the vaccine on the virus </w:t>
      </w:r>
      <w:r w:rsidR="00C62B92" w:rsidRPr="00D86085">
        <w:rPr>
          <w:rFonts w:asciiTheme="minorHAnsi" w:hAnsiTheme="minorHAnsi" w:cstheme="minorHAnsi"/>
          <w:sz w:val="22"/>
        </w:rPr>
        <w:t>invented a mere three days earlier</w:t>
      </w:r>
      <w:proofErr w:type="gramStart"/>
      <w:r w:rsidR="00C62B92" w:rsidRPr="00D86085">
        <w:rPr>
          <w:rFonts w:asciiTheme="minorHAnsi" w:hAnsiTheme="minorHAnsi" w:cstheme="minorHAnsi"/>
          <w:sz w:val="22"/>
        </w:rPr>
        <w:t>.</w:t>
      </w:r>
      <w:r w:rsidR="009F6B0F" w:rsidRPr="00D86085">
        <w:rPr>
          <w:rFonts w:asciiTheme="minorHAnsi" w:hAnsiTheme="minorHAnsi" w:cstheme="minorHAnsi"/>
          <w:sz w:val="22"/>
        </w:rPr>
        <w:t xml:space="preserve">  </w:t>
      </w:r>
      <w:proofErr w:type="gramEnd"/>
      <w:r w:rsidR="009F6B0F" w:rsidRPr="00D86085">
        <w:rPr>
          <w:rFonts w:asciiTheme="minorHAnsi" w:hAnsiTheme="minorHAnsi" w:cstheme="minorHAnsi"/>
          <w:sz w:val="22"/>
        </w:rPr>
        <w:t xml:space="preserve">At the same time, in </w:t>
      </w:r>
      <w:r w:rsidR="009F6B0F" w:rsidRPr="00D86085">
        <w:rPr>
          <w:rFonts w:asciiTheme="minorHAnsi" w:hAnsiTheme="minorHAnsi" w:cstheme="minorHAnsi"/>
          <w:b/>
          <w:bCs/>
          <w:sz w:val="22"/>
          <w:u w:val="single"/>
        </w:rPr>
        <w:t xml:space="preserve">violation of 15 USC § </w:t>
      </w:r>
      <w:r w:rsidR="00BF3C2A" w:rsidRPr="00D86085">
        <w:rPr>
          <w:rFonts w:asciiTheme="minorHAnsi" w:hAnsiTheme="minorHAnsi" w:cstheme="minorHAnsi"/>
          <w:b/>
          <w:bCs/>
          <w:sz w:val="22"/>
          <w:u w:val="single"/>
        </w:rPr>
        <w:t>19</w:t>
      </w:r>
      <w:r w:rsidR="00BF3C2A" w:rsidRPr="00D86085">
        <w:rPr>
          <w:rFonts w:asciiTheme="minorHAnsi" w:hAnsiTheme="minorHAnsi" w:cstheme="minorHAnsi"/>
          <w:sz w:val="22"/>
        </w:rPr>
        <w:t xml:space="preserve"> Dr. Fauci was appointed to a board position with the Bill and Melinda Gates Foundation (a competitor in vaccine manufacturing) thereby beginning the interlocking directorate</w:t>
      </w:r>
      <w:r w:rsidR="00BF3C2A" w:rsidRPr="00D86085">
        <w:rPr>
          <w:rStyle w:val="FootnoteReference"/>
          <w:rFonts w:asciiTheme="minorHAnsi" w:hAnsiTheme="minorHAnsi" w:cstheme="minorHAnsi"/>
          <w:sz w:val="22"/>
        </w:rPr>
        <w:footnoteReference w:id="1"/>
      </w:r>
      <w:r w:rsidR="00BF3C2A" w:rsidRPr="00D86085">
        <w:rPr>
          <w:rFonts w:asciiTheme="minorHAnsi" w:hAnsiTheme="minorHAnsi" w:cstheme="minorHAnsi"/>
          <w:sz w:val="22"/>
        </w:rPr>
        <w:t xml:space="preserve"> anti-trust crime.</w:t>
      </w:r>
    </w:p>
    <w:p w14:paraId="27F22CD4" w14:textId="77777777" w:rsidR="00D038F3" w:rsidRPr="00D86085" w:rsidRDefault="00D038F3">
      <w:pPr>
        <w:rPr>
          <w:rFonts w:asciiTheme="minorHAnsi" w:hAnsiTheme="minorHAnsi" w:cstheme="minorHAnsi"/>
          <w:sz w:val="22"/>
        </w:rPr>
      </w:pPr>
    </w:p>
    <w:p w14:paraId="4377C1EB" w14:textId="662ED9B2" w:rsidR="0062100C" w:rsidRPr="00D86085" w:rsidRDefault="0062100C">
      <w:pPr>
        <w:rPr>
          <w:rFonts w:asciiTheme="minorHAnsi" w:hAnsiTheme="minorHAnsi" w:cstheme="minorHAnsi"/>
          <w:sz w:val="22"/>
        </w:rPr>
      </w:pPr>
      <w:r w:rsidRPr="00D86085">
        <w:rPr>
          <w:rFonts w:asciiTheme="minorHAnsi" w:hAnsiTheme="minorHAnsi" w:cstheme="minorHAnsi"/>
          <w:sz w:val="22"/>
        </w:rPr>
        <w:t xml:space="preserve">In 2005, the DARPA and MITRE hosted a conference in which the intentions of the U.S. Department of Defense </w:t>
      </w:r>
      <w:proofErr w:type="gramStart"/>
      <w:r w:rsidRPr="00D86085">
        <w:rPr>
          <w:rFonts w:asciiTheme="minorHAnsi" w:hAnsiTheme="minorHAnsi" w:cstheme="minorHAnsi"/>
          <w:sz w:val="22"/>
        </w:rPr>
        <w:t>was</w:t>
      </w:r>
      <w:proofErr w:type="gramEnd"/>
      <w:r w:rsidRPr="00D86085">
        <w:rPr>
          <w:rFonts w:asciiTheme="minorHAnsi" w:hAnsiTheme="minorHAnsi" w:cstheme="minorHAnsi"/>
          <w:sz w:val="22"/>
        </w:rPr>
        <w:t xml:space="preserve"> explicit.  In a presentation focused on “Synthetic Coronaviruses Biohacking: Biological Warfare Enabling </w:t>
      </w:r>
      <w:r w:rsidRPr="00D86085">
        <w:rPr>
          <w:rFonts w:asciiTheme="minorHAnsi" w:hAnsiTheme="minorHAnsi" w:cstheme="minorHAnsi"/>
          <w:sz w:val="22"/>
        </w:rPr>
        <w:lastRenderedPageBreak/>
        <w:t xml:space="preserve">Technologies”, Dr. Baric presented the </w:t>
      </w:r>
      <w:r w:rsidR="00CF19FA" w:rsidRPr="00D86085">
        <w:rPr>
          <w:rFonts w:asciiTheme="minorHAnsi" w:hAnsiTheme="minorHAnsi" w:cstheme="minorHAnsi"/>
          <w:sz w:val="22"/>
        </w:rPr>
        <w:t xml:space="preserve">malleability of </w:t>
      </w:r>
      <w:proofErr w:type="spellStart"/>
      <w:r w:rsidR="00CF19FA" w:rsidRPr="00D86085">
        <w:rPr>
          <w:rFonts w:asciiTheme="minorHAnsi" w:hAnsiTheme="minorHAnsi" w:cstheme="minorHAnsi"/>
          <w:sz w:val="22"/>
        </w:rPr>
        <w:t>CoV</w:t>
      </w:r>
      <w:proofErr w:type="spellEnd"/>
      <w:r w:rsidR="00CF19FA" w:rsidRPr="00D86085">
        <w:rPr>
          <w:rFonts w:asciiTheme="minorHAnsi" w:hAnsiTheme="minorHAnsi" w:cstheme="minorHAnsi"/>
          <w:sz w:val="22"/>
        </w:rPr>
        <w:t xml:space="preserve"> as a biological warfare agent</w:t>
      </w:r>
      <w:proofErr w:type="gramStart"/>
      <w:r w:rsidR="00CF19FA" w:rsidRPr="00D86085">
        <w:rPr>
          <w:rFonts w:asciiTheme="minorHAnsi" w:hAnsiTheme="minorHAnsi" w:cstheme="minorHAnsi"/>
          <w:sz w:val="22"/>
        </w:rPr>
        <w:t xml:space="preserve">.  </w:t>
      </w:r>
      <w:proofErr w:type="gramEnd"/>
      <w:r w:rsidR="00CF19FA" w:rsidRPr="00D86085">
        <w:rPr>
          <w:rFonts w:asciiTheme="minorHAnsi" w:hAnsiTheme="minorHAnsi" w:cstheme="minorHAnsi"/>
          <w:b/>
          <w:bCs/>
          <w:sz w:val="22"/>
          <w:u w:val="single"/>
        </w:rPr>
        <w:t>Violating 18 USC § 175</w:t>
      </w:r>
      <w:r w:rsidR="00CF19FA" w:rsidRPr="00D86085">
        <w:rPr>
          <w:rFonts w:asciiTheme="minorHAnsi" w:hAnsiTheme="minorHAnsi" w:cstheme="minorHAnsi"/>
          <w:sz w:val="22"/>
        </w:rPr>
        <w:t xml:space="preserve"> and inducing the non-competitive market allocation</w:t>
      </w:r>
      <w:r w:rsidR="00400529" w:rsidRPr="00D86085">
        <w:rPr>
          <w:rFonts w:asciiTheme="minorHAnsi" w:hAnsiTheme="minorHAnsi" w:cstheme="minorHAnsi"/>
          <w:sz w:val="22"/>
        </w:rPr>
        <w:t xml:space="preserve"> (</w:t>
      </w:r>
      <w:r w:rsidR="00400529" w:rsidRPr="00D86085">
        <w:rPr>
          <w:rFonts w:asciiTheme="minorHAnsi" w:hAnsiTheme="minorHAnsi" w:cstheme="minorHAnsi"/>
          <w:b/>
          <w:bCs/>
          <w:sz w:val="22"/>
          <w:u w:val="single"/>
        </w:rPr>
        <w:t>violating 15 USC § 8</w:t>
      </w:r>
      <w:r w:rsidR="00400529" w:rsidRPr="00D86085">
        <w:rPr>
          <w:rFonts w:asciiTheme="minorHAnsi" w:hAnsiTheme="minorHAnsi" w:cstheme="minorHAnsi"/>
          <w:sz w:val="22"/>
        </w:rPr>
        <w:t>)</w:t>
      </w:r>
      <w:r w:rsidR="00CF19FA" w:rsidRPr="00D86085">
        <w:rPr>
          <w:rFonts w:asciiTheme="minorHAnsi" w:hAnsiTheme="minorHAnsi" w:cstheme="minorHAnsi"/>
          <w:sz w:val="22"/>
        </w:rPr>
        <w:t xml:space="preserve"> for years to follow, Dr. Baric and the U.S. Department of Defense spent over $45 million in amplifying the toxicity of </w:t>
      </w:r>
      <w:proofErr w:type="spellStart"/>
      <w:r w:rsidR="00CF19FA" w:rsidRPr="00D86085">
        <w:rPr>
          <w:rFonts w:asciiTheme="minorHAnsi" w:hAnsiTheme="minorHAnsi" w:cstheme="minorHAnsi"/>
          <w:sz w:val="22"/>
        </w:rPr>
        <w:t>CoV</w:t>
      </w:r>
      <w:proofErr w:type="spellEnd"/>
      <w:r w:rsidR="00CF19FA" w:rsidRPr="00D86085">
        <w:rPr>
          <w:rFonts w:asciiTheme="minorHAnsi" w:hAnsiTheme="minorHAnsi" w:cstheme="minorHAnsi"/>
          <w:sz w:val="22"/>
        </w:rPr>
        <w:t xml:space="preserve"> and its chimeric derivatives.</w:t>
      </w:r>
    </w:p>
    <w:p w14:paraId="2E625D74" w14:textId="0EA7F22D" w:rsidR="00400529" w:rsidRPr="00D86085" w:rsidRDefault="00400529">
      <w:pPr>
        <w:rPr>
          <w:rFonts w:asciiTheme="minorHAnsi" w:hAnsiTheme="minorHAnsi" w:cstheme="minorHAnsi"/>
          <w:sz w:val="22"/>
        </w:rPr>
      </w:pPr>
    </w:p>
    <w:p w14:paraId="5C026351" w14:textId="330AE822" w:rsidR="00400529" w:rsidRPr="00D86085" w:rsidRDefault="000B11CD">
      <w:pPr>
        <w:rPr>
          <w:rFonts w:asciiTheme="minorHAnsi" w:hAnsiTheme="minorHAnsi" w:cstheme="minorHAnsi"/>
          <w:sz w:val="22"/>
        </w:rPr>
      </w:pPr>
      <w:r w:rsidRPr="00D86085">
        <w:rPr>
          <w:rFonts w:asciiTheme="minorHAnsi" w:hAnsiTheme="minorHAnsi" w:cstheme="minorHAnsi"/>
          <w:sz w:val="22"/>
        </w:rPr>
        <w:t>From 2011 until the alleged COVID-19 pandemic, Dr. Fauci has routinely lamented about the inadequacy of public funding for his vaccine programs and the public’s general unwillingness to succumb to his insistence that every MUST be vaccinated against influenza</w:t>
      </w:r>
      <w:proofErr w:type="gramStart"/>
      <w:r w:rsidRPr="00D86085">
        <w:rPr>
          <w:rFonts w:asciiTheme="minorHAnsi" w:hAnsiTheme="minorHAnsi" w:cstheme="minorHAnsi"/>
          <w:sz w:val="22"/>
        </w:rPr>
        <w:t xml:space="preserve">.  </w:t>
      </w:r>
      <w:proofErr w:type="gramEnd"/>
      <w:r w:rsidRPr="00D86085">
        <w:rPr>
          <w:rFonts w:asciiTheme="minorHAnsi" w:hAnsiTheme="minorHAnsi" w:cstheme="minorHAnsi"/>
          <w:sz w:val="22"/>
        </w:rPr>
        <w:t>Despite repeated appropriations to advance vaccine dependency, his efforts have been largely unsuccessful</w:t>
      </w:r>
      <w:proofErr w:type="gramStart"/>
      <w:r w:rsidRPr="00D86085">
        <w:rPr>
          <w:rFonts w:asciiTheme="minorHAnsi" w:hAnsiTheme="minorHAnsi" w:cstheme="minorHAnsi"/>
          <w:sz w:val="22"/>
        </w:rPr>
        <w:t xml:space="preserve">. </w:t>
      </w:r>
      <w:r w:rsidR="00943B25" w:rsidRPr="00D86085">
        <w:rPr>
          <w:rFonts w:asciiTheme="minorHAnsi" w:hAnsiTheme="minorHAnsi" w:cstheme="minorHAnsi"/>
          <w:sz w:val="22"/>
        </w:rPr>
        <w:t xml:space="preserve"> </w:t>
      </w:r>
      <w:proofErr w:type="gramEnd"/>
      <w:r w:rsidR="00943B25" w:rsidRPr="00D86085">
        <w:rPr>
          <w:rFonts w:asciiTheme="minorHAnsi" w:hAnsiTheme="minorHAnsi" w:cstheme="minorHAnsi"/>
          <w:sz w:val="22"/>
        </w:rPr>
        <w:t xml:space="preserve">NIAID – under Dr. Fauci’s direct authorization – encouraged UNC Chapel and Dr. </w:t>
      </w:r>
      <w:proofErr w:type="spellStart"/>
      <w:r w:rsidR="00943B25" w:rsidRPr="00D86085">
        <w:rPr>
          <w:rFonts w:asciiTheme="minorHAnsi" w:hAnsiTheme="minorHAnsi" w:cstheme="minorHAnsi"/>
          <w:sz w:val="22"/>
        </w:rPr>
        <w:t>Baric’s</w:t>
      </w:r>
      <w:proofErr w:type="spellEnd"/>
      <w:r w:rsidR="00943B25" w:rsidRPr="00D86085">
        <w:rPr>
          <w:rFonts w:asciiTheme="minorHAnsi" w:hAnsiTheme="minorHAnsi" w:cstheme="minorHAnsi"/>
          <w:sz w:val="22"/>
        </w:rPr>
        <w:t xml:space="preserve"> lab to ignore the </w:t>
      </w:r>
      <w:proofErr w:type="spellStart"/>
      <w:r w:rsidR="00943B25" w:rsidRPr="00D86085">
        <w:rPr>
          <w:rFonts w:asciiTheme="minorHAnsi" w:hAnsiTheme="minorHAnsi" w:cstheme="minorHAnsi"/>
          <w:sz w:val="22"/>
        </w:rPr>
        <w:t>GoF</w:t>
      </w:r>
      <w:proofErr w:type="spellEnd"/>
      <w:r w:rsidR="00943B25" w:rsidRPr="00D86085">
        <w:rPr>
          <w:rFonts w:asciiTheme="minorHAnsi" w:hAnsiTheme="minorHAnsi" w:cstheme="minorHAnsi"/>
          <w:sz w:val="22"/>
        </w:rPr>
        <w:t xml:space="preserve"> moratorium in a letter dated October 21, 2014</w:t>
      </w:r>
      <w:proofErr w:type="gramStart"/>
      <w:r w:rsidR="00943B25" w:rsidRPr="00D86085">
        <w:rPr>
          <w:rFonts w:asciiTheme="minorHAnsi" w:hAnsiTheme="minorHAnsi" w:cstheme="minorHAnsi"/>
          <w:sz w:val="22"/>
        </w:rPr>
        <w:t xml:space="preserve">.  </w:t>
      </w:r>
      <w:proofErr w:type="gramEnd"/>
      <w:r w:rsidR="00943B25" w:rsidRPr="00D86085">
        <w:rPr>
          <w:rFonts w:asciiTheme="minorHAnsi" w:hAnsiTheme="minorHAnsi" w:cstheme="minorHAnsi"/>
          <w:sz w:val="22"/>
        </w:rPr>
        <w:t xml:space="preserve">At that time, Drs. Fauci, Baric and </w:t>
      </w:r>
      <w:proofErr w:type="spellStart"/>
      <w:r w:rsidR="00943B25" w:rsidRPr="00D86085">
        <w:rPr>
          <w:rFonts w:asciiTheme="minorHAnsi" w:hAnsiTheme="minorHAnsi" w:cstheme="minorHAnsi"/>
          <w:sz w:val="22"/>
        </w:rPr>
        <w:t>EcoHealthAlliance’s</w:t>
      </w:r>
      <w:proofErr w:type="spellEnd"/>
      <w:r w:rsidR="00943B25" w:rsidRPr="00D86085">
        <w:rPr>
          <w:rFonts w:asciiTheme="minorHAnsi" w:hAnsiTheme="minorHAnsi" w:cstheme="minorHAnsi"/>
          <w:sz w:val="22"/>
        </w:rPr>
        <w:t xml:space="preserve"> Peter </w:t>
      </w:r>
      <w:proofErr w:type="spellStart"/>
      <w:r w:rsidR="00943B25" w:rsidRPr="00D86085">
        <w:rPr>
          <w:rFonts w:asciiTheme="minorHAnsi" w:hAnsiTheme="minorHAnsi" w:cstheme="minorHAnsi"/>
          <w:sz w:val="22"/>
        </w:rPr>
        <w:t>Daszak</w:t>
      </w:r>
      <w:proofErr w:type="spellEnd"/>
      <w:r w:rsidR="00943B25" w:rsidRPr="00D86085">
        <w:rPr>
          <w:rFonts w:asciiTheme="minorHAnsi" w:hAnsiTheme="minorHAnsi" w:cstheme="minorHAnsi"/>
          <w:sz w:val="22"/>
        </w:rPr>
        <w:t xml:space="preserve"> were in possession of an extremely dangerous Chinese pathogen identified a year earlier in Wuhan.</w:t>
      </w:r>
      <w:r w:rsidR="00943B25" w:rsidRPr="00D86085">
        <w:rPr>
          <w:rStyle w:val="FootnoteReference"/>
          <w:rFonts w:asciiTheme="minorHAnsi" w:hAnsiTheme="minorHAnsi" w:cstheme="minorHAnsi"/>
          <w:sz w:val="22"/>
        </w:rPr>
        <w:footnoteReference w:id="2"/>
      </w:r>
      <w:r w:rsidR="00943B25" w:rsidRPr="00D86085">
        <w:rPr>
          <w:rFonts w:asciiTheme="minorHAnsi" w:hAnsiTheme="minorHAnsi" w:cstheme="minorHAnsi"/>
          <w:sz w:val="22"/>
        </w:rPr>
        <w:t xml:space="preserve">  </w:t>
      </w:r>
    </w:p>
    <w:p w14:paraId="3D0EA6D7" w14:textId="762363C3" w:rsidR="00943B25" w:rsidRPr="00D86085" w:rsidRDefault="00943B25">
      <w:pPr>
        <w:rPr>
          <w:rFonts w:asciiTheme="minorHAnsi" w:hAnsiTheme="minorHAnsi" w:cstheme="minorHAnsi"/>
          <w:sz w:val="22"/>
        </w:rPr>
      </w:pPr>
    </w:p>
    <w:p w14:paraId="46B731FD" w14:textId="4E506D97" w:rsidR="00943B25" w:rsidRPr="00D86085" w:rsidRDefault="002636C7">
      <w:pPr>
        <w:rPr>
          <w:rFonts w:asciiTheme="minorHAnsi" w:hAnsiTheme="minorHAnsi" w:cstheme="minorHAnsi"/>
          <w:sz w:val="22"/>
        </w:rPr>
      </w:pPr>
      <w:r w:rsidRPr="00D86085">
        <w:rPr>
          <w:rFonts w:asciiTheme="minorHAnsi" w:hAnsiTheme="minorHAnsi" w:cstheme="minorHAnsi"/>
          <w:sz w:val="22"/>
        </w:rPr>
        <w:t>While many illegal acts were committed by the conspirators leading up to 2015, the domestic terrorism program</w:t>
      </w:r>
      <w:r w:rsidR="00D86085" w:rsidRPr="00D86085">
        <w:rPr>
          <w:rFonts w:asciiTheme="minorHAnsi" w:hAnsiTheme="minorHAnsi" w:cstheme="minorHAnsi"/>
          <w:sz w:val="22"/>
        </w:rPr>
        <w:t xml:space="preserve"> (</w:t>
      </w:r>
      <w:r w:rsidR="00D86085" w:rsidRPr="00D038F3">
        <w:rPr>
          <w:rFonts w:asciiTheme="minorHAnsi" w:hAnsiTheme="minorHAnsi" w:cstheme="minorHAnsi"/>
          <w:b/>
          <w:bCs/>
          <w:sz w:val="22"/>
          <w:u w:val="single"/>
        </w:rPr>
        <w:t>in violation of 18 USC § 2339</w:t>
      </w:r>
      <w:r w:rsidR="00D86085" w:rsidRPr="00D86085">
        <w:rPr>
          <w:rFonts w:asciiTheme="minorHAnsi" w:hAnsiTheme="minorHAnsi" w:cstheme="minorHAnsi"/>
          <w:sz w:val="22"/>
        </w:rPr>
        <w:t xml:space="preserve">) </w:t>
      </w:r>
      <w:r w:rsidRPr="00D86085">
        <w:rPr>
          <w:rFonts w:asciiTheme="minorHAnsi" w:hAnsiTheme="minorHAnsi" w:cstheme="minorHAnsi"/>
          <w:sz w:val="22"/>
        </w:rPr>
        <w:t xml:space="preserve">was announced by NIAID-funded </w:t>
      </w:r>
      <w:proofErr w:type="spellStart"/>
      <w:r w:rsidRPr="00D86085">
        <w:rPr>
          <w:rFonts w:asciiTheme="minorHAnsi" w:hAnsiTheme="minorHAnsi" w:cstheme="minorHAnsi"/>
          <w:sz w:val="22"/>
        </w:rPr>
        <w:t>Daszak</w:t>
      </w:r>
      <w:proofErr w:type="spellEnd"/>
      <w:r w:rsidRPr="00D86085">
        <w:rPr>
          <w:rFonts w:asciiTheme="minorHAnsi" w:hAnsiTheme="minorHAnsi" w:cstheme="minorHAnsi"/>
          <w:sz w:val="22"/>
        </w:rPr>
        <w:t xml:space="preserve"> at the National Academy of Sciences</w:t>
      </w:r>
      <w:proofErr w:type="gramStart"/>
      <w:r w:rsidRPr="00D86085">
        <w:rPr>
          <w:rFonts w:asciiTheme="minorHAnsi" w:hAnsiTheme="minorHAnsi" w:cstheme="minorHAnsi"/>
          <w:sz w:val="22"/>
        </w:rPr>
        <w:t xml:space="preserve">.  </w:t>
      </w:r>
      <w:proofErr w:type="gramEnd"/>
      <w:r w:rsidRPr="00D86085">
        <w:rPr>
          <w:rFonts w:asciiTheme="minorHAnsi" w:hAnsiTheme="minorHAnsi" w:cstheme="minorHAnsi"/>
          <w:sz w:val="22"/>
        </w:rPr>
        <w:t xml:space="preserve">Here, he announced what was to become the domestic and global terrorism event branded COVID-19. </w:t>
      </w:r>
    </w:p>
    <w:p w14:paraId="32C5BEB8" w14:textId="67326D36" w:rsidR="002636C7" w:rsidRPr="00D86085" w:rsidRDefault="002636C7">
      <w:pPr>
        <w:rPr>
          <w:rFonts w:asciiTheme="minorHAnsi" w:hAnsiTheme="minorHAnsi" w:cstheme="minorHAnsi"/>
          <w:sz w:val="28"/>
          <w:szCs w:val="28"/>
        </w:rPr>
      </w:pPr>
    </w:p>
    <w:p w14:paraId="24989942" w14:textId="751AB506" w:rsidR="002636C7" w:rsidRPr="00D86085" w:rsidRDefault="002636C7" w:rsidP="002636C7">
      <w:pPr>
        <w:shd w:val="clear" w:color="auto" w:fill="FFFFFF"/>
        <w:textAlignment w:val="baseline"/>
        <w:rPr>
          <w:rFonts w:asciiTheme="minorHAnsi" w:hAnsiTheme="minorHAnsi" w:cstheme="minorHAnsi"/>
          <w:color w:val="000000"/>
          <w:sz w:val="28"/>
          <w:szCs w:val="28"/>
          <w:shd w:val="clear" w:color="auto" w:fill="FFFFFF"/>
        </w:rPr>
      </w:pPr>
      <w:r w:rsidRPr="00D86085">
        <w:rPr>
          <w:rFonts w:asciiTheme="minorHAnsi" w:hAnsiTheme="minorHAnsi" w:cstheme="minorHAnsi"/>
          <w:color w:val="000000"/>
          <w:sz w:val="24"/>
          <w:szCs w:val="24"/>
          <w:shd w:val="clear" w:color="auto" w:fill="FFFFFF"/>
        </w:rPr>
        <w:t>“</w:t>
      </w:r>
      <w:r w:rsidR="00D86085" w:rsidRPr="00D86085">
        <w:rPr>
          <w:rFonts w:asciiTheme="minorHAnsi" w:hAnsiTheme="minorHAnsi" w:cstheme="minorHAnsi"/>
          <w:i/>
          <w:iCs/>
          <w:color w:val="000000"/>
          <w:sz w:val="24"/>
          <w:szCs w:val="24"/>
          <w:shd w:val="clear" w:color="auto" w:fill="FFFFFF"/>
        </w:rPr>
        <w:t>…u</w:t>
      </w:r>
      <w:r w:rsidRPr="00D86085">
        <w:rPr>
          <w:rFonts w:asciiTheme="minorHAnsi" w:hAnsiTheme="minorHAnsi" w:cstheme="minorHAnsi"/>
          <w:i/>
          <w:iCs/>
          <w:color w:val="000000"/>
          <w:sz w:val="24"/>
          <w:szCs w:val="24"/>
          <w:shd w:val="clear" w:color="auto" w:fill="FFFFFF"/>
        </w:rPr>
        <w:t xml:space="preserve">ntil an infectious disease crisis is very real, present, and at an emergency </w:t>
      </w:r>
      <w:r w:rsidRPr="00D86085">
        <w:rPr>
          <w:rFonts w:asciiTheme="minorHAnsi" w:hAnsiTheme="minorHAnsi" w:cstheme="minorHAnsi"/>
          <w:i/>
          <w:iCs/>
          <w:color w:val="000000"/>
          <w:sz w:val="28"/>
          <w:szCs w:val="28"/>
          <w:shd w:val="clear" w:color="auto" w:fill="FFFFFF"/>
        </w:rPr>
        <w:t xml:space="preserve">threshold, it is often largely ignored. </w:t>
      </w:r>
      <w:r w:rsidRPr="00D86085">
        <w:rPr>
          <w:rFonts w:asciiTheme="minorHAnsi" w:hAnsiTheme="minorHAnsi" w:cstheme="minorHAnsi"/>
          <w:b/>
          <w:bCs/>
          <w:i/>
          <w:iCs/>
          <w:color w:val="000000"/>
          <w:sz w:val="28"/>
          <w:szCs w:val="28"/>
          <w:shd w:val="clear" w:color="auto" w:fill="FFFFFF"/>
        </w:rPr>
        <w:t xml:space="preserve">To </w:t>
      </w:r>
      <w:r w:rsidRPr="00D86085">
        <w:rPr>
          <w:rFonts w:asciiTheme="minorHAnsi" w:hAnsiTheme="minorHAnsi" w:cstheme="minorHAnsi"/>
          <w:b/>
          <w:bCs/>
          <w:i/>
          <w:iCs/>
          <w:color w:val="000000"/>
          <w:sz w:val="28"/>
          <w:szCs w:val="28"/>
          <w:u w:val="single"/>
          <w:shd w:val="clear" w:color="auto" w:fill="FFFFFF"/>
        </w:rPr>
        <w:t>sustain the funding base</w:t>
      </w:r>
      <w:r w:rsidRPr="00D86085">
        <w:rPr>
          <w:rFonts w:asciiTheme="minorHAnsi" w:hAnsiTheme="minorHAnsi" w:cstheme="minorHAnsi"/>
          <w:b/>
          <w:bCs/>
          <w:i/>
          <w:iCs/>
          <w:color w:val="000000"/>
          <w:sz w:val="28"/>
          <w:szCs w:val="28"/>
          <w:shd w:val="clear" w:color="auto" w:fill="FFFFFF"/>
        </w:rPr>
        <w:t xml:space="preserve"> beyond the crisis, he said, we need to increase public understanding of the need for MCMs such as a pan-influenza or pan-coronavirus vaccine</w:t>
      </w:r>
      <w:r w:rsidRPr="00D86085">
        <w:rPr>
          <w:rFonts w:asciiTheme="minorHAnsi" w:hAnsiTheme="minorHAnsi" w:cstheme="minorHAnsi"/>
          <w:b/>
          <w:bCs/>
          <w:i/>
          <w:iCs/>
          <w:color w:val="000000"/>
          <w:sz w:val="28"/>
          <w:szCs w:val="28"/>
          <w:u w:val="single"/>
          <w:shd w:val="clear" w:color="auto" w:fill="FFFFFF"/>
        </w:rPr>
        <w:t>. A key driver is the media, and the economics follow the hype. We need to use that hype to our advantage to get to the real issues. Investors will respond if they see profit at the end of process</w:t>
      </w:r>
      <w:r w:rsidRPr="00D86085">
        <w:rPr>
          <w:rFonts w:asciiTheme="minorHAnsi" w:hAnsiTheme="minorHAnsi" w:cstheme="minorHAnsi"/>
          <w:i/>
          <w:iCs/>
          <w:color w:val="000000"/>
          <w:sz w:val="28"/>
          <w:szCs w:val="28"/>
          <w:u w:val="single"/>
          <w:shd w:val="clear" w:color="auto" w:fill="FFFFFF"/>
        </w:rPr>
        <w:t xml:space="preserve">, </w:t>
      </w:r>
      <w:proofErr w:type="spellStart"/>
      <w:r w:rsidRPr="00D86085">
        <w:rPr>
          <w:rFonts w:asciiTheme="minorHAnsi" w:hAnsiTheme="minorHAnsi" w:cstheme="minorHAnsi"/>
          <w:i/>
          <w:iCs/>
          <w:color w:val="000000"/>
          <w:sz w:val="28"/>
          <w:szCs w:val="28"/>
          <w:shd w:val="clear" w:color="auto" w:fill="FFFFFF"/>
        </w:rPr>
        <w:t>Daszak</w:t>
      </w:r>
      <w:proofErr w:type="spellEnd"/>
      <w:r w:rsidRPr="00D86085">
        <w:rPr>
          <w:rFonts w:asciiTheme="minorHAnsi" w:hAnsiTheme="minorHAnsi" w:cstheme="minorHAnsi"/>
          <w:i/>
          <w:iCs/>
          <w:color w:val="000000"/>
          <w:sz w:val="28"/>
          <w:szCs w:val="28"/>
          <w:shd w:val="clear" w:color="auto" w:fill="FFFFFF"/>
        </w:rPr>
        <w:t xml:space="preserve"> stated</w:t>
      </w:r>
      <w:r w:rsidRPr="00D86085">
        <w:rPr>
          <w:rFonts w:asciiTheme="minorHAnsi" w:hAnsiTheme="minorHAnsi" w:cstheme="minorHAnsi"/>
          <w:color w:val="000000"/>
          <w:sz w:val="28"/>
          <w:szCs w:val="28"/>
          <w:shd w:val="clear" w:color="auto" w:fill="FFFFFF"/>
        </w:rPr>
        <w:t>.”</w:t>
      </w:r>
      <w:r w:rsidRPr="00D86085">
        <w:rPr>
          <w:rStyle w:val="FootnoteReference"/>
          <w:rFonts w:asciiTheme="minorHAnsi" w:hAnsiTheme="minorHAnsi" w:cstheme="minorHAnsi"/>
          <w:color w:val="000000"/>
          <w:sz w:val="28"/>
          <w:szCs w:val="28"/>
          <w:shd w:val="clear" w:color="auto" w:fill="FFFFFF"/>
        </w:rPr>
        <w:footnoteReference w:id="3"/>
      </w:r>
    </w:p>
    <w:p w14:paraId="14949EB1" w14:textId="640DF45B" w:rsidR="002636C7" w:rsidRPr="00D86085" w:rsidRDefault="002636C7">
      <w:pPr>
        <w:rPr>
          <w:rFonts w:asciiTheme="minorHAnsi" w:hAnsiTheme="minorHAnsi" w:cstheme="minorHAnsi"/>
          <w:sz w:val="22"/>
        </w:rPr>
      </w:pPr>
    </w:p>
    <w:p w14:paraId="06642B8B" w14:textId="108B3B20" w:rsidR="002636C7" w:rsidRDefault="00D86085">
      <w:pPr>
        <w:rPr>
          <w:rFonts w:asciiTheme="minorHAnsi" w:hAnsiTheme="minorHAnsi" w:cstheme="minorHAnsi"/>
          <w:sz w:val="22"/>
        </w:rPr>
      </w:pPr>
      <w:r w:rsidRPr="00D86085">
        <w:rPr>
          <w:rFonts w:asciiTheme="minorHAnsi" w:hAnsiTheme="minorHAnsi" w:cstheme="minorHAnsi"/>
          <w:sz w:val="22"/>
        </w:rPr>
        <w:t xml:space="preserve">It is </w:t>
      </w:r>
      <w:r>
        <w:rPr>
          <w:rFonts w:asciiTheme="minorHAnsi" w:hAnsiTheme="minorHAnsi" w:cstheme="minorHAnsi"/>
          <w:sz w:val="22"/>
        </w:rPr>
        <w:t xml:space="preserve">not surprising that one year later NIAID’s funding paid off with Dr. </w:t>
      </w:r>
      <w:proofErr w:type="spellStart"/>
      <w:r>
        <w:rPr>
          <w:rFonts w:asciiTheme="minorHAnsi" w:hAnsiTheme="minorHAnsi" w:cstheme="minorHAnsi"/>
          <w:sz w:val="22"/>
        </w:rPr>
        <w:t>Baric’s</w:t>
      </w:r>
      <w:proofErr w:type="spellEnd"/>
      <w:r>
        <w:rPr>
          <w:rFonts w:asciiTheme="minorHAnsi" w:hAnsiTheme="minorHAnsi" w:cstheme="minorHAnsi"/>
          <w:sz w:val="22"/>
        </w:rPr>
        <w:t xml:space="preserve"> lab announcing that the Wuhan-derived pathogen was “poised for human emergence”</w:t>
      </w:r>
      <w:r w:rsidR="008F00B2">
        <w:rPr>
          <w:rFonts w:asciiTheme="minorHAnsi" w:hAnsiTheme="minorHAnsi" w:cstheme="minorHAnsi"/>
          <w:sz w:val="22"/>
        </w:rPr>
        <w:t>.</w:t>
      </w:r>
      <w:r w:rsidR="008F00B2">
        <w:rPr>
          <w:rStyle w:val="FootnoteReference"/>
          <w:rFonts w:asciiTheme="minorHAnsi" w:hAnsiTheme="minorHAnsi" w:cstheme="minorHAnsi"/>
          <w:sz w:val="22"/>
        </w:rPr>
        <w:footnoteReference w:id="4"/>
      </w:r>
    </w:p>
    <w:p w14:paraId="4095BC8E" w14:textId="4B6F5813" w:rsidR="008F00B2" w:rsidRDefault="008F00B2">
      <w:pPr>
        <w:rPr>
          <w:rFonts w:asciiTheme="minorHAnsi" w:hAnsiTheme="minorHAnsi" w:cstheme="minorHAnsi"/>
          <w:sz w:val="22"/>
        </w:rPr>
      </w:pPr>
    </w:p>
    <w:p w14:paraId="587C85EA" w14:textId="57E5E26C" w:rsidR="008F00B2" w:rsidRDefault="008F00B2" w:rsidP="008F00B2">
      <w:pPr>
        <w:pStyle w:val="NormalWeb"/>
        <w:shd w:val="clear" w:color="auto" w:fill="FFFFFF"/>
        <w:spacing w:before="0" w:beforeAutospacing="0" w:after="396" w:afterAutospacing="0"/>
        <w:rPr>
          <w:rFonts w:asciiTheme="minorHAnsi" w:hAnsiTheme="minorHAnsi" w:cstheme="minorHAnsi"/>
          <w:sz w:val="22"/>
          <w:szCs w:val="22"/>
        </w:rPr>
      </w:pPr>
      <w:r>
        <w:rPr>
          <w:rFonts w:asciiTheme="minorHAnsi" w:hAnsiTheme="minorHAnsi" w:cstheme="minorHAnsi"/>
          <w:sz w:val="22"/>
          <w:szCs w:val="22"/>
        </w:rPr>
        <w:t xml:space="preserve">Knowing that the U.S. Department of Health and Human Services (through CDC, NIH, NIAID, and their funded laboratories and commercial partners) had patents on each proposed element of medical counter measures and their funding, Dr. Fauci, Dr. Gao (China CDC), and Dr. Elias (Bill and Melinda Gates Foundation) conspired to commit acts of terror on the global population – including the citizens of the United States – when, in September 2019, they published the following mandate in </w:t>
      </w:r>
      <w:r>
        <w:rPr>
          <w:rFonts w:asciiTheme="minorHAnsi" w:hAnsiTheme="minorHAnsi" w:cstheme="minorHAnsi"/>
          <w:b/>
          <w:bCs/>
          <w:i/>
          <w:iCs/>
          <w:sz w:val="22"/>
          <w:szCs w:val="22"/>
        </w:rPr>
        <w:t>A World At Risk</w:t>
      </w:r>
      <w:r>
        <w:rPr>
          <w:rFonts w:asciiTheme="minorHAnsi" w:hAnsiTheme="minorHAnsi" w:cstheme="minorHAnsi"/>
          <w:sz w:val="22"/>
          <w:szCs w:val="22"/>
        </w:rPr>
        <w:t>:</w:t>
      </w:r>
    </w:p>
    <w:p w14:paraId="3C2A3960" w14:textId="77777777" w:rsidR="008F00B2" w:rsidRPr="00F90249" w:rsidRDefault="008F00B2" w:rsidP="008F00B2">
      <w:pPr>
        <w:pStyle w:val="NormalWeb"/>
        <w:shd w:val="clear" w:color="auto" w:fill="FFFFFF"/>
        <w:spacing w:before="0" w:beforeAutospacing="0" w:after="0" w:afterAutospacing="0"/>
        <w:rPr>
          <w:rFonts w:asciiTheme="minorHAnsi" w:hAnsiTheme="minorHAnsi" w:cstheme="minorHAnsi"/>
          <w:i/>
          <w:iCs/>
          <w:sz w:val="22"/>
          <w:szCs w:val="22"/>
        </w:rPr>
      </w:pPr>
      <w:r>
        <w:rPr>
          <w:rFonts w:asciiTheme="minorHAnsi" w:hAnsiTheme="minorHAnsi" w:cstheme="minorHAnsi"/>
          <w:i/>
          <w:iCs/>
          <w:sz w:val="22"/>
          <w:szCs w:val="22"/>
        </w:rPr>
        <w:t>“</w:t>
      </w:r>
      <w:r w:rsidRPr="00F90249">
        <w:rPr>
          <w:rFonts w:asciiTheme="minorHAnsi" w:hAnsiTheme="minorHAnsi" w:cstheme="minorHAnsi"/>
          <w:i/>
          <w:iCs/>
          <w:sz w:val="22"/>
          <w:szCs w:val="22"/>
        </w:rPr>
        <w:t xml:space="preserve">Countries, donors and multilateral institutions must be prepared for the worst. A rapidly spreading pandemic due to a lethal respiratory pathogen (whether naturally emergent or accidentally or deliberately released) poses additional preparedness requirements. Donors and multilateral institutions must ensure adequate investment in developing innovative vaccines and therapeutics, surge manufacturing capacity, broad-spectrum </w:t>
      </w:r>
      <w:proofErr w:type="gramStart"/>
      <w:r w:rsidRPr="00F90249">
        <w:rPr>
          <w:rFonts w:asciiTheme="minorHAnsi" w:hAnsiTheme="minorHAnsi" w:cstheme="minorHAnsi"/>
          <w:i/>
          <w:iCs/>
          <w:sz w:val="22"/>
          <w:szCs w:val="22"/>
        </w:rPr>
        <w:t>antivirals</w:t>
      </w:r>
      <w:proofErr w:type="gramEnd"/>
      <w:r w:rsidRPr="00F90249">
        <w:rPr>
          <w:rFonts w:asciiTheme="minorHAnsi" w:hAnsiTheme="minorHAnsi" w:cstheme="minorHAnsi"/>
          <w:i/>
          <w:iCs/>
          <w:sz w:val="22"/>
          <w:szCs w:val="22"/>
        </w:rPr>
        <w:t xml:space="preserve"> and appropriate non-pharmaceutical interventions. All countries must develop a system for immediately sharing genome sequences of any new pathogen for public health purposes along with the means to share limited medical countermeasures across countries. </w:t>
      </w:r>
    </w:p>
    <w:p w14:paraId="3AE7E9C6" w14:textId="77777777" w:rsidR="008F00B2" w:rsidRPr="00F90249" w:rsidRDefault="008F00B2" w:rsidP="008F00B2">
      <w:pPr>
        <w:pStyle w:val="NormalWeb"/>
        <w:shd w:val="clear" w:color="auto" w:fill="FFFFFF"/>
        <w:spacing w:before="0" w:beforeAutospacing="0" w:after="0" w:afterAutospacing="0"/>
        <w:rPr>
          <w:rFonts w:asciiTheme="minorHAnsi" w:hAnsiTheme="minorHAnsi" w:cstheme="minorHAnsi"/>
          <w:i/>
          <w:iCs/>
          <w:sz w:val="22"/>
          <w:szCs w:val="22"/>
        </w:rPr>
      </w:pPr>
      <w:r w:rsidRPr="00F90249">
        <w:rPr>
          <w:rFonts w:asciiTheme="minorHAnsi" w:hAnsiTheme="minorHAnsi" w:cstheme="minorHAnsi"/>
          <w:i/>
          <w:iCs/>
          <w:sz w:val="22"/>
          <w:szCs w:val="22"/>
        </w:rPr>
        <w:t xml:space="preserve">Progress indicator(s) by September 2020 </w:t>
      </w:r>
    </w:p>
    <w:p w14:paraId="6E0018DC" w14:textId="77777777" w:rsidR="008F00B2" w:rsidRPr="00F90249" w:rsidRDefault="008F00B2" w:rsidP="008F00B2">
      <w:pPr>
        <w:pStyle w:val="NormalWeb"/>
        <w:shd w:val="clear" w:color="auto" w:fill="FFFFFF"/>
        <w:spacing w:before="0" w:beforeAutospacing="0" w:after="0" w:afterAutospacing="0"/>
        <w:ind w:left="720"/>
        <w:rPr>
          <w:rFonts w:asciiTheme="minorHAnsi" w:hAnsiTheme="minorHAnsi" w:cstheme="minorHAnsi"/>
          <w:i/>
          <w:iCs/>
          <w:sz w:val="22"/>
          <w:szCs w:val="22"/>
        </w:rPr>
      </w:pPr>
      <w:r w:rsidRPr="00F90249">
        <w:rPr>
          <w:rFonts w:asciiTheme="minorHAnsi" w:hAnsiTheme="minorHAnsi" w:cstheme="minorHAnsi"/>
          <w:i/>
          <w:iCs/>
          <w:sz w:val="22"/>
          <w:szCs w:val="22"/>
        </w:rPr>
        <w:t xml:space="preserve">• Donors and countries commit and identify timelines for: financing and development of a universal influenza vaccine, broad spectrum antivirals, and targeted therapeutics. WHO and its Member States develop options for standard procedures and timelines for sharing of sequence data, specimens, and medical countermeasures for pathogens other than </w:t>
      </w:r>
      <w:proofErr w:type="gramStart"/>
      <w:r w:rsidRPr="00F90249">
        <w:rPr>
          <w:rFonts w:asciiTheme="minorHAnsi" w:hAnsiTheme="minorHAnsi" w:cstheme="minorHAnsi"/>
          <w:i/>
          <w:iCs/>
          <w:sz w:val="22"/>
          <w:szCs w:val="22"/>
        </w:rPr>
        <w:t>influenza.</w:t>
      </w:r>
      <w:proofErr w:type="gramEnd"/>
      <w:r w:rsidRPr="00F90249">
        <w:rPr>
          <w:rFonts w:asciiTheme="minorHAnsi" w:hAnsiTheme="minorHAnsi" w:cstheme="minorHAnsi"/>
          <w:i/>
          <w:iCs/>
          <w:sz w:val="22"/>
          <w:szCs w:val="22"/>
        </w:rPr>
        <w:t xml:space="preserve"> </w:t>
      </w:r>
    </w:p>
    <w:p w14:paraId="14C69826" w14:textId="77777777" w:rsidR="008F00B2" w:rsidRPr="00F90249" w:rsidRDefault="008F00B2" w:rsidP="008F00B2">
      <w:pPr>
        <w:pStyle w:val="NormalWeb"/>
        <w:shd w:val="clear" w:color="auto" w:fill="FFFFFF"/>
        <w:spacing w:before="0" w:beforeAutospacing="0" w:after="0" w:afterAutospacing="0"/>
        <w:ind w:left="720"/>
        <w:rPr>
          <w:rFonts w:asciiTheme="minorHAnsi" w:hAnsiTheme="minorHAnsi" w:cstheme="minorHAnsi"/>
          <w:i/>
          <w:iCs/>
          <w:sz w:val="22"/>
          <w:szCs w:val="22"/>
        </w:rPr>
      </w:pPr>
      <w:r w:rsidRPr="00F90249">
        <w:rPr>
          <w:rFonts w:asciiTheme="minorHAnsi" w:hAnsiTheme="minorHAnsi" w:cstheme="minorHAnsi"/>
          <w:i/>
          <w:iCs/>
          <w:sz w:val="22"/>
          <w:szCs w:val="22"/>
        </w:rPr>
        <w:t xml:space="preserve">• Donors, </w:t>
      </w:r>
      <w:proofErr w:type="gramStart"/>
      <w:r w:rsidRPr="00F90249">
        <w:rPr>
          <w:rFonts w:asciiTheme="minorHAnsi" w:hAnsiTheme="minorHAnsi" w:cstheme="minorHAnsi"/>
          <w:i/>
          <w:iCs/>
          <w:sz w:val="22"/>
          <w:szCs w:val="22"/>
        </w:rPr>
        <w:t>countries</w:t>
      </w:r>
      <w:proofErr w:type="gramEnd"/>
      <w:r w:rsidRPr="00F90249">
        <w:rPr>
          <w:rFonts w:asciiTheme="minorHAnsi" w:hAnsiTheme="minorHAnsi" w:cstheme="minorHAnsi"/>
          <w:i/>
          <w:iCs/>
          <w:sz w:val="22"/>
          <w:szCs w:val="22"/>
        </w:rPr>
        <w:t xml:space="preserve"> and multilateral institutions develop a multi-year plan and approach for strengthening R&amp;D research capacity, in advance of and during an epidemic. </w:t>
      </w:r>
    </w:p>
    <w:p w14:paraId="21C7B6C2" w14:textId="77777777" w:rsidR="008F00B2" w:rsidRDefault="008F00B2" w:rsidP="008F00B2">
      <w:pPr>
        <w:pStyle w:val="NormalWeb"/>
        <w:shd w:val="clear" w:color="auto" w:fill="FFFFFF"/>
        <w:spacing w:before="0" w:beforeAutospacing="0" w:after="0" w:afterAutospacing="0"/>
        <w:ind w:left="720"/>
        <w:rPr>
          <w:rFonts w:asciiTheme="minorHAnsi" w:hAnsiTheme="minorHAnsi" w:cstheme="minorHAnsi"/>
          <w:i/>
          <w:iCs/>
          <w:sz w:val="22"/>
          <w:szCs w:val="22"/>
        </w:rPr>
      </w:pPr>
      <w:r w:rsidRPr="00F90249">
        <w:rPr>
          <w:rFonts w:asciiTheme="minorHAnsi" w:hAnsiTheme="minorHAnsi" w:cstheme="minorHAnsi"/>
          <w:i/>
          <w:iCs/>
          <w:sz w:val="22"/>
          <w:szCs w:val="22"/>
        </w:rPr>
        <w:t>• WHO, the United Nations Children’s Fund, the International Federation of Red Cross and Red Crescent Societies, academic and other partners identify strategies for increasing capacity and integration of social science approaches and researchers across the entire preparedness/response continuum.</w:t>
      </w:r>
      <w:r>
        <w:rPr>
          <w:rFonts w:asciiTheme="minorHAnsi" w:hAnsiTheme="minorHAnsi" w:cstheme="minorHAnsi"/>
          <w:i/>
          <w:iCs/>
          <w:sz w:val="22"/>
          <w:szCs w:val="22"/>
        </w:rPr>
        <w:t>”</w:t>
      </w:r>
      <w:r>
        <w:rPr>
          <w:rStyle w:val="FootnoteReference"/>
          <w:rFonts w:asciiTheme="minorHAnsi" w:hAnsiTheme="minorHAnsi" w:cstheme="minorHAnsi"/>
          <w:i/>
          <w:iCs/>
          <w:sz w:val="22"/>
          <w:szCs w:val="22"/>
        </w:rPr>
        <w:footnoteReference w:id="5"/>
      </w:r>
    </w:p>
    <w:p w14:paraId="38135F9A" w14:textId="77777777" w:rsidR="00C13F3C" w:rsidRDefault="00C13F3C" w:rsidP="00C13F3C">
      <w:pPr>
        <w:pStyle w:val="NormalWeb"/>
        <w:shd w:val="clear" w:color="auto" w:fill="FFFFFF"/>
        <w:spacing w:before="0" w:beforeAutospacing="0" w:after="0" w:afterAutospacing="0"/>
        <w:rPr>
          <w:rFonts w:asciiTheme="minorHAnsi" w:hAnsiTheme="minorHAnsi" w:cstheme="minorHAnsi"/>
          <w:sz w:val="22"/>
          <w:szCs w:val="22"/>
        </w:rPr>
      </w:pPr>
    </w:p>
    <w:p w14:paraId="05BAF8DC" w14:textId="2DF200BF" w:rsidR="008F00B2" w:rsidRDefault="008F00B2" w:rsidP="00C13F3C">
      <w:pPr>
        <w:pStyle w:val="NormalWeb"/>
        <w:shd w:val="clear" w:color="auto" w:fill="FFFFFF"/>
        <w:spacing w:before="0" w:beforeAutospacing="0" w:after="0" w:afterAutospacing="0"/>
        <w:rPr>
          <w:rFonts w:asciiTheme="minorHAnsi" w:hAnsiTheme="minorHAnsi" w:cstheme="minorHAnsi"/>
          <w:sz w:val="22"/>
          <w:szCs w:val="22"/>
        </w:rPr>
      </w:pPr>
      <w:r w:rsidRPr="00DC2B77">
        <w:rPr>
          <w:rFonts w:asciiTheme="minorHAnsi" w:hAnsiTheme="minorHAnsi" w:cstheme="minorHAnsi"/>
          <w:sz w:val="22"/>
          <w:szCs w:val="22"/>
        </w:rPr>
        <w:t>As if to confirm the utility of the September 2019 demand for “financing and development of” vaccine and the fortuitous SARS CoV-2 alleged outbreak in December of 2019, Dr. Fauci began gloating that his fortunes for additional funding were likely changing for the better</w:t>
      </w:r>
      <w:proofErr w:type="gramStart"/>
      <w:r w:rsidRPr="00DC2B77">
        <w:rPr>
          <w:rFonts w:asciiTheme="minorHAnsi" w:hAnsiTheme="minorHAnsi" w:cstheme="minorHAnsi"/>
          <w:sz w:val="22"/>
          <w:szCs w:val="22"/>
        </w:rPr>
        <w:t xml:space="preserve">.  </w:t>
      </w:r>
      <w:proofErr w:type="gramEnd"/>
      <w:r w:rsidRPr="00DC2B77">
        <w:rPr>
          <w:rFonts w:asciiTheme="minorHAnsi" w:hAnsiTheme="minorHAnsi" w:cstheme="minorHAnsi"/>
          <w:sz w:val="22"/>
          <w:szCs w:val="22"/>
        </w:rPr>
        <w:t xml:space="preserve">In a February 2020 interview in </w:t>
      </w:r>
      <w:r w:rsidRPr="00DC2B77">
        <w:rPr>
          <w:rFonts w:asciiTheme="minorHAnsi" w:hAnsiTheme="minorHAnsi" w:cstheme="minorHAnsi"/>
          <w:b/>
          <w:bCs/>
          <w:i/>
          <w:iCs/>
          <w:sz w:val="22"/>
          <w:szCs w:val="22"/>
        </w:rPr>
        <w:t>STAT</w:t>
      </w:r>
      <w:r w:rsidRPr="00DC2B77">
        <w:rPr>
          <w:rFonts w:asciiTheme="minorHAnsi" w:hAnsiTheme="minorHAnsi" w:cstheme="minorHAnsi"/>
          <w:sz w:val="22"/>
          <w:szCs w:val="22"/>
        </w:rPr>
        <w:t>, he was quoted as follows:</w:t>
      </w:r>
    </w:p>
    <w:p w14:paraId="50A03A86" w14:textId="77777777" w:rsidR="00C13F3C" w:rsidRPr="00DC2B77" w:rsidRDefault="00C13F3C" w:rsidP="00C13F3C">
      <w:pPr>
        <w:pStyle w:val="NormalWeb"/>
        <w:shd w:val="clear" w:color="auto" w:fill="FFFFFF"/>
        <w:spacing w:before="0" w:beforeAutospacing="0" w:after="0" w:afterAutospacing="0"/>
        <w:rPr>
          <w:rFonts w:asciiTheme="minorHAnsi" w:hAnsiTheme="minorHAnsi" w:cstheme="minorHAnsi"/>
          <w:sz w:val="22"/>
          <w:szCs w:val="22"/>
        </w:rPr>
      </w:pPr>
    </w:p>
    <w:p w14:paraId="70E9D53A" w14:textId="64EFA473" w:rsidR="008F00B2" w:rsidRPr="00DC2B77" w:rsidRDefault="008F00B2" w:rsidP="00C13F3C">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shd w:val="clear" w:color="auto" w:fill="FFFFFF"/>
        </w:rPr>
        <w:t>“</w:t>
      </w:r>
      <w:r w:rsidRPr="006643DB">
        <w:rPr>
          <w:rFonts w:asciiTheme="minorHAnsi" w:hAnsiTheme="minorHAnsi" w:cstheme="minorHAnsi"/>
          <w:i/>
          <w:iCs/>
          <w:sz w:val="22"/>
          <w:szCs w:val="22"/>
          <w:shd w:val="clear" w:color="auto" w:fill="FFFFFF"/>
        </w:rPr>
        <w:t>The emergence of the new virus is going to change that figure, likely considerably, Fauci said. “I don’t know how much it’s going to be. But I think it’s going to generate more sustained interest in coronaviruses because it’s very clear that coronaviruses can do really interesting things</w:t>
      </w:r>
      <w:r w:rsidRPr="00DC2B77">
        <w:rPr>
          <w:rFonts w:asciiTheme="minorHAnsi" w:hAnsiTheme="minorHAnsi" w:cstheme="minorHAnsi"/>
          <w:sz w:val="22"/>
          <w:szCs w:val="22"/>
          <w:shd w:val="clear" w:color="auto" w:fill="FFFFFF"/>
        </w:rPr>
        <w:t>.”</w:t>
      </w:r>
      <w:r w:rsidRPr="00DC2B77">
        <w:rPr>
          <w:rStyle w:val="FootnoteReference"/>
          <w:rFonts w:asciiTheme="minorHAnsi" w:hAnsiTheme="minorHAnsi" w:cstheme="minorHAnsi"/>
          <w:sz w:val="22"/>
          <w:szCs w:val="22"/>
          <w:shd w:val="clear" w:color="auto" w:fill="FFFFFF"/>
        </w:rPr>
        <w:footnoteReference w:id="6"/>
      </w:r>
    </w:p>
    <w:p w14:paraId="09929C22" w14:textId="1A2F1DDF" w:rsidR="008F00B2" w:rsidRDefault="008F00B2">
      <w:pPr>
        <w:rPr>
          <w:rFonts w:asciiTheme="minorHAnsi" w:hAnsiTheme="minorHAnsi" w:cstheme="minorHAnsi"/>
          <w:sz w:val="22"/>
        </w:rPr>
      </w:pPr>
    </w:p>
    <w:p w14:paraId="1C99A1F2" w14:textId="220B27BE" w:rsidR="00C13F3C" w:rsidRDefault="00C13F3C">
      <w:pPr>
        <w:rPr>
          <w:rFonts w:asciiTheme="minorHAnsi" w:hAnsiTheme="minorHAnsi" w:cstheme="minorHAnsi"/>
          <w:sz w:val="22"/>
        </w:rPr>
      </w:pPr>
      <w:r>
        <w:rPr>
          <w:rFonts w:asciiTheme="minorHAnsi" w:hAnsiTheme="minorHAnsi" w:cstheme="minorHAnsi"/>
          <w:sz w:val="22"/>
        </w:rPr>
        <w:t xml:space="preserve">In November 2019 – one month before the alleged “outbreak” in Wuhan, Moderna entered into a material transfer agreement – brokered by </w:t>
      </w:r>
      <w:r w:rsidR="00CA3FF2">
        <w:rPr>
          <w:rFonts w:asciiTheme="minorHAnsi" w:hAnsiTheme="minorHAnsi" w:cstheme="minorHAnsi"/>
          <w:sz w:val="22"/>
        </w:rPr>
        <w:t xml:space="preserve">the Vaccine Research Center at NIAID (at which UNC Chapel Hill alum Dr. Kizzy Corbett worked – to access Dr. </w:t>
      </w:r>
      <w:proofErr w:type="spellStart"/>
      <w:r w:rsidR="00CA3FF2">
        <w:rPr>
          <w:rFonts w:asciiTheme="minorHAnsi" w:hAnsiTheme="minorHAnsi" w:cstheme="minorHAnsi"/>
          <w:sz w:val="22"/>
        </w:rPr>
        <w:t>Baric’s</w:t>
      </w:r>
      <w:proofErr w:type="spellEnd"/>
      <w:r w:rsidR="00CA3FF2">
        <w:rPr>
          <w:rFonts w:asciiTheme="minorHAnsi" w:hAnsiTheme="minorHAnsi" w:cstheme="minorHAnsi"/>
          <w:sz w:val="22"/>
        </w:rPr>
        <w:t xml:space="preserve"> Spike Protein data to commence vaccine development</w:t>
      </w:r>
      <w:proofErr w:type="gramStart"/>
      <w:r w:rsidR="00CA3FF2">
        <w:rPr>
          <w:rFonts w:asciiTheme="minorHAnsi" w:hAnsiTheme="minorHAnsi" w:cstheme="minorHAnsi"/>
          <w:sz w:val="22"/>
        </w:rPr>
        <w:t xml:space="preserve">.  </w:t>
      </w:r>
      <w:proofErr w:type="gramEnd"/>
      <w:r w:rsidR="00CA3FF2">
        <w:rPr>
          <w:rFonts w:asciiTheme="minorHAnsi" w:hAnsiTheme="minorHAnsi" w:cstheme="minorHAnsi"/>
          <w:sz w:val="22"/>
        </w:rPr>
        <w:t>In his own written statement</w:t>
      </w:r>
      <w:r w:rsidR="00A64165">
        <w:rPr>
          <w:rFonts w:asciiTheme="minorHAnsi" w:hAnsiTheme="minorHAnsi" w:cstheme="minorHAnsi"/>
          <w:sz w:val="22"/>
        </w:rPr>
        <w:t xml:space="preserve"> obtained by the </w:t>
      </w:r>
      <w:r w:rsidR="00A64165">
        <w:rPr>
          <w:rFonts w:asciiTheme="minorHAnsi" w:hAnsiTheme="minorHAnsi" w:cstheme="minorHAnsi"/>
          <w:b/>
          <w:bCs/>
          <w:i/>
          <w:iCs/>
          <w:sz w:val="22"/>
        </w:rPr>
        <w:t>Financial Times</w:t>
      </w:r>
      <w:r w:rsidR="00CA3FF2">
        <w:rPr>
          <w:rFonts w:asciiTheme="minorHAnsi" w:hAnsiTheme="minorHAnsi" w:cstheme="minorHAnsi"/>
          <w:sz w:val="22"/>
        </w:rPr>
        <w:t>, he refers to this agreement as being the foundation for the mRNA Moderna vaccine.</w:t>
      </w:r>
      <w:r w:rsidR="00A64165">
        <w:rPr>
          <w:rStyle w:val="FootnoteReference"/>
          <w:rFonts w:asciiTheme="minorHAnsi" w:hAnsiTheme="minorHAnsi" w:cstheme="minorHAnsi"/>
          <w:sz w:val="22"/>
        </w:rPr>
        <w:footnoteReference w:id="7"/>
      </w:r>
    </w:p>
    <w:p w14:paraId="21006F07" w14:textId="28B03291" w:rsidR="00A64165" w:rsidRDefault="00A64165">
      <w:pPr>
        <w:rPr>
          <w:rFonts w:asciiTheme="minorHAnsi" w:hAnsiTheme="minorHAnsi" w:cstheme="minorHAnsi"/>
          <w:sz w:val="22"/>
        </w:rPr>
      </w:pPr>
    </w:p>
    <w:p w14:paraId="0A90A20C" w14:textId="4D08AB0B" w:rsidR="00A64165" w:rsidRDefault="00A64165">
      <w:pPr>
        <w:rPr>
          <w:rFonts w:asciiTheme="minorHAnsi" w:hAnsiTheme="minorHAnsi" w:cstheme="minorHAnsi"/>
          <w:sz w:val="22"/>
        </w:rPr>
      </w:pPr>
      <w:r>
        <w:rPr>
          <w:rFonts w:asciiTheme="minorHAnsi" w:hAnsiTheme="minorHAnsi" w:cstheme="minorHAnsi"/>
          <w:sz w:val="22"/>
        </w:rPr>
        <w:t>To finalize the nature of the racketeering and anti-trust criminal conspiracy, when it came time to commercialize the NIH and DARPA owned spike protein and pass it off as a “vaccine” (in conflict with the standard for vaccines in statutory and scientific application), the Operation Warp Speed contract was awarded to DoD contraction ATI, a subsidiary of ANSER</w:t>
      </w:r>
      <w:proofErr w:type="gramStart"/>
      <w:r>
        <w:rPr>
          <w:rFonts w:asciiTheme="minorHAnsi" w:hAnsiTheme="minorHAnsi" w:cstheme="minorHAnsi"/>
          <w:sz w:val="22"/>
        </w:rPr>
        <w:t xml:space="preserve">.  </w:t>
      </w:r>
      <w:proofErr w:type="gramEnd"/>
      <w:r>
        <w:rPr>
          <w:rFonts w:asciiTheme="minorHAnsi" w:hAnsiTheme="minorHAnsi" w:cstheme="minorHAnsi"/>
          <w:sz w:val="22"/>
        </w:rPr>
        <w:t>In a graph reminiscent of the anti-trust hearings at the formation of the Clayton Act in the early 20</w:t>
      </w:r>
      <w:r w:rsidRPr="00A64165">
        <w:rPr>
          <w:rFonts w:asciiTheme="minorHAnsi" w:hAnsiTheme="minorHAnsi" w:cstheme="minorHAnsi"/>
          <w:sz w:val="22"/>
          <w:vertAlign w:val="superscript"/>
        </w:rPr>
        <w:t>th</w:t>
      </w:r>
      <w:r>
        <w:rPr>
          <w:rFonts w:asciiTheme="minorHAnsi" w:hAnsiTheme="minorHAnsi" w:cstheme="minorHAnsi"/>
          <w:sz w:val="22"/>
        </w:rPr>
        <w:t xml:space="preserve"> century, the identify of the interlocking conflicts of interests are presented in graphic relief</w:t>
      </w:r>
      <w:proofErr w:type="gramStart"/>
      <w:r>
        <w:rPr>
          <w:rFonts w:asciiTheme="minorHAnsi" w:hAnsiTheme="minorHAnsi" w:cstheme="minorHAnsi"/>
          <w:sz w:val="22"/>
        </w:rPr>
        <w:t>.</w:t>
      </w:r>
      <w:r w:rsidR="00506A77">
        <w:rPr>
          <w:rFonts w:asciiTheme="minorHAnsi" w:hAnsiTheme="minorHAnsi" w:cstheme="minorHAnsi"/>
          <w:sz w:val="22"/>
        </w:rPr>
        <w:t xml:space="preserve">  </w:t>
      </w:r>
      <w:proofErr w:type="gramEnd"/>
      <w:r w:rsidR="00506A77">
        <w:rPr>
          <w:rFonts w:asciiTheme="minorHAnsi" w:hAnsiTheme="minorHAnsi" w:cstheme="minorHAnsi"/>
          <w:sz w:val="22"/>
        </w:rPr>
        <w:t>It is with no surprise that the result of this price-fixing conspiracy was the enrichment of the conspiring parties and the harm of consumers.</w:t>
      </w:r>
    </w:p>
    <w:p w14:paraId="02F1EFD3" w14:textId="168A36BD" w:rsidR="00A64165" w:rsidRDefault="00A64165">
      <w:pPr>
        <w:rPr>
          <w:rFonts w:asciiTheme="minorHAnsi" w:hAnsiTheme="minorHAnsi" w:cstheme="minorHAnsi"/>
          <w:sz w:val="22"/>
        </w:rPr>
      </w:pPr>
    </w:p>
    <w:p w14:paraId="4F62B645" w14:textId="60969D69" w:rsidR="00A64165" w:rsidRDefault="00506A77" w:rsidP="00506A77">
      <w:pPr>
        <w:jc w:val="center"/>
        <w:rPr>
          <w:rFonts w:asciiTheme="minorHAnsi" w:hAnsiTheme="minorHAnsi" w:cstheme="minorHAnsi"/>
          <w:sz w:val="22"/>
        </w:rPr>
      </w:pPr>
      <w:r w:rsidRPr="001417D6">
        <w:rPr>
          <w:noProof/>
        </w:rPr>
        <w:drawing>
          <wp:inline distT="0" distB="0" distL="0" distR="0" wp14:anchorId="24D50B68" wp14:editId="6911DA37">
            <wp:extent cx="5355208" cy="4015154"/>
            <wp:effectExtent l="0" t="0" r="0" b="4445"/>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a:blip r:embed="rId7"/>
                    <a:stretch>
                      <a:fillRect/>
                    </a:stretch>
                  </pic:blipFill>
                  <pic:spPr>
                    <a:xfrm>
                      <a:off x="0" y="0"/>
                      <a:ext cx="5360965" cy="4019471"/>
                    </a:xfrm>
                    <a:prstGeom prst="rect">
                      <a:avLst/>
                    </a:prstGeom>
                  </pic:spPr>
                </pic:pic>
              </a:graphicData>
            </a:graphic>
          </wp:inline>
        </w:drawing>
      </w:r>
    </w:p>
    <w:p w14:paraId="0D21ABE0" w14:textId="5FCB64F9" w:rsidR="00506A77" w:rsidRDefault="00506A77">
      <w:pPr>
        <w:rPr>
          <w:rFonts w:asciiTheme="minorHAnsi" w:hAnsiTheme="minorHAnsi" w:cstheme="minorHAnsi"/>
          <w:sz w:val="22"/>
        </w:rPr>
      </w:pPr>
    </w:p>
    <w:p w14:paraId="18ED91EE" w14:textId="7A6AE829" w:rsidR="00506A77" w:rsidRPr="00A33F92" w:rsidRDefault="00506A77">
      <w:pPr>
        <w:rPr>
          <w:rFonts w:asciiTheme="minorHAnsi" w:hAnsiTheme="minorHAnsi" w:cstheme="minorHAnsi"/>
          <w:sz w:val="22"/>
        </w:rPr>
      </w:pPr>
      <w:r>
        <w:rPr>
          <w:rFonts w:asciiTheme="minorHAnsi" w:hAnsiTheme="minorHAnsi" w:cstheme="minorHAnsi"/>
          <w:sz w:val="22"/>
        </w:rPr>
        <w:t xml:space="preserve">Indeed, </w:t>
      </w:r>
      <w:r>
        <w:rPr>
          <w:rFonts w:asciiTheme="minorHAnsi" w:hAnsiTheme="minorHAnsi" w:cstheme="minorHAnsi"/>
          <w:b/>
          <w:bCs/>
          <w:i/>
          <w:iCs/>
          <w:sz w:val="22"/>
        </w:rPr>
        <w:t xml:space="preserve">the money followed the </w:t>
      </w:r>
      <w:proofErr w:type="gramStart"/>
      <w:r>
        <w:rPr>
          <w:rFonts w:asciiTheme="minorHAnsi" w:hAnsiTheme="minorHAnsi" w:cstheme="minorHAnsi"/>
          <w:b/>
          <w:bCs/>
          <w:i/>
          <w:iCs/>
          <w:sz w:val="22"/>
        </w:rPr>
        <w:t>hype</w:t>
      </w:r>
      <w:proofErr w:type="gramEnd"/>
      <w:r>
        <w:rPr>
          <w:rFonts w:asciiTheme="minorHAnsi" w:hAnsiTheme="minorHAnsi" w:cstheme="minorHAnsi"/>
          <w:sz w:val="22"/>
        </w:rPr>
        <w:t xml:space="preserve"> and they </w:t>
      </w:r>
      <w:r>
        <w:rPr>
          <w:rFonts w:asciiTheme="minorHAnsi" w:hAnsiTheme="minorHAnsi" w:cstheme="minorHAnsi"/>
          <w:b/>
          <w:bCs/>
          <w:i/>
          <w:iCs/>
          <w:sz w:val="22"/>
        </w:rPr>
        <w:t xml:space="preserve">used the hype to get to the real issues.  Investors follow where </w:t>
      </w:r>
      <w:r w:rsidRPr="00A33F92">
        <w:rPr>
          <w:rFonts w:asciiTheme="minorHAnsi" w:hAnsiTheme="minorHAnsi" w:cstheme="minorHAnsi"/>
          <w:b/>
          <w:bCs/>
          <w:i/>
          <w:iCs/>
          <w:sz w:val="22"/>
        </w:rPr>
        <w:t>they see profit at the end of the process.</w:t>
      </w:r>
    </w:p>
    <w:p w14:paraId="72596500" w14:textId="6A84B7CB" w:rsidR="00506A77" w:rsidRPr="00A33F92" w:rsidRDefault="00506A77">
      <w:pPr>
        <w:rPr>
          <w:rFonts w:asciiTheme="minorHAnsi" w:hAnsiTheme="minorHAnsi" w:cstheme="minorHAnsi"/>
          <w:sz w:val="22"/>
        </w:rPr>
      </w:pPr>
    </w:p>
    <w:p w14:paraId="23AC15F7" w14:textId="77777777" w:rsidR="00A33F92" w:rsidRPr="00A33F92" w:rsidRDefault="00506A77" w:rsidP="00506A77">
      <w:pPr>
        <w:rPr>
          <w:rFonts w:asciiTheme="minorHAnsi" w:hAnsiTheme="minorHAnsi" w:cstheme="minorHAnsi"/>
          <w:sz w:val="22"/>
        </w:rPr>
      </w:pPr>
      <w:r w:rsidRPr="00A33F92">
        <w:rPr>
          <w:rFonts w:asciiTheme="minorHAnsi" w:hAnsiTheme="minorHAnsi" w:cstheme="minorHAnsi"/>
          <w:sz w:val="22"/>
        </w:rPr>
        <w:t>And real Americans are dying each day because a criminal organization unleashed terror resulting in the deaths of Americans</w:t>
      </w:r>
      <w:proofErr w:type="gramStart"/>
      <w:r w:rsidRPr="00A33F92">
        <w:rPr>
          <w:rFonts w:asciiTheme="minorHAnsi" w:hAnsiTheme="minorHAnsi" w:cstheme="minorHAnsi"/>
          <w:sz w:val="22"/>
        </w:rPr>
        <w:t xml:space="preserve">.  </w:t>
      </w:r>
      <w:bookmarkStart w:id="0" w:name="_Toc61827483"/>
      <w:proofErr w:type="gramEnd"/>
    </w:p>
    <w:p w14:paraId="1924C150" w14:textId="77777777" w:rsidR="00A33F92" w:rsidRPr="00A33F92" w:rsidRDefault="00A33F92" w:rsidP="00506A77">
      <w:pPr>
        <w:rPr>
          <w:rFonts w:asciiTheme="minorHAnsi" w:hAnsiTheme="minorHAnsi" w:cstheme="minorHAnsi"/>
          <w:sz w:val="22"/>
        </w:rPr>
      </w:pPr>
    </w:p>
    <w:p w14:paraId="6BFB4C7C" w14:textId="1BD36DB7" w:rsidR="00506A77" w:rsidRPr="00A33F92" w:rsidRDefault="00506A77" w:rsidP="00506A77">
      <w:pPr>
        <w:rPr>
          <w:rFonts w:asciiTheme="minorHAnsi" w:hAnsiTheme="minorHAnsi" w:cstheme="minorHAnsi"/>
          <w:sz w:val="22"/>
        </w:rPr>
      </w:pPr>
      <w:r w:rsidRPr="00D038F3">
        <w:rPr>
          <w:rFonts w:asciiTheme="minorHAnsi" w:hAnsiTheme="minorHAnsi" w:cstheme="minorHAnsi"/>
          <w:b/>
          <w:bCs/>
          <w:sz w:val="22"/>
          <w:u w:val="single"/>
        </w:rPr>
        <w:t xml:space="preserve">18 U.S.C. § 2331 §§ 802 </w:t>
      </w:r>
      <w:r w:rsidRPr="00A33F92">
        <w:rPr>
          <w:rFonts w:asciiTheme="minorHAnsi" w:hAnsiTheme="minorHAnsi" w:cstheme="minorHAnsi"/>
          <w:b/>
          <w:bCs/>
          <w:sz w:val="22"/>
        </w:rPr>
        <w:t>– Acts of Domestic Terrorism resulting in death of American Citizens</w:t>
      </w:r>
      <w:bookmarkEnd w:id="0"/>
    </w:p>
    <w:p w14:paraId="22B2288F" w14:textId="77777777" w:rsidR="00506A77" w:rsidRPr="00A33F92" w:rsidRDefault="00506A77" w:rsidP="00506A77">
      <w:pPr>
        <w:rPr>
          <w:rFonts w:asciiTheme="minorHAnsi" w:hAnsiTheme="minorHAnsi" w:cstheme="minorHAnsi"/>
          <w:sz w:val="22"/>
          <w:shd w:val="clear" w:color="auto" w:fill="FFFFFF"/>
        </w:rPr>
      </w:pPr>
    </w:p>
    <w:p w14:paraId="27CAC500" w14:textId="7C34609A" w:rsidR="00506A77" w:rsidRPr="00A33F92" w:rsidRDefault="00506A77" w:rsidP="00506A77">
      <w:pPr>
        <w:rPr>
          <w:rFonts w:asciiTheme="minorHAnsi" w:hAnsiTheme="minorHAnsi" w:cstheme="minorHAnsi"/>
          <w:b/>
          <w:bCs/>
          <w:sz w:val="22"/>
        </w:rPr>
      </w:pPr>
      <w:r w:rsidRPr="00A33F92">
        <w:rPr>
          <w:rFonts w:asciiTheme="minorHAnsi" w:hAnsiTheme="minorHAnsi" w:cstheme="minorHAnsi"/>
          <w:b/>
          <w:bCs/>
          <w:sz w:val="22"/>
        </w:rPr>
        <w:t xml:space="preserve">Pub. L. No. 107-52 expanded the definition of terrorism to cover "domestic," as opposed to international, terrorism. A person engages in domestic terrorism if they do an act "dangerous to human life" that is a violation of the criminal laws of a state or the United States, </w:t>
      </w:r>
      <w:r w:rsidRPr="00A33F92">
        <w:rPr>
          <w:rFonts w:asciiTheme="minorHAnsi" w:hAnsiTheme="minorHAnsi" w:cstheme="minorHAnsi"/>
          <w:b/>
          <w:bCs/>
          <w:sz w:val="22"/>
          <w:u w:val="single"/>
        </w:rPr>
        <w:t xml:space="preserve">if the act appears to be intended to: (i) intimidate or coerce a civilian population; (ii) influence the policy of a government by intimidation or </w:t>
      </w:r>
      <w:proofErr w:type="gramStart"/>
      <w:r w:rsidRPr="00A33F92">
        <w:rPr>
          <w:rFonts w:asciiTheme="minorHAnsi" w:hAnsiTheme="minorHAnsi" w:cstheme="minorHAnsi"/>
          <w:b/>
          <w:bCs/>
          <w:sz w:val="22"/>
          <w:u w:val="single"/>
        </w:rPr>
        <w:t>coercion;</w:t>
      </w:r>
      <w:proofErr w:type="gramEnd"/>
      <w:r w:rsidRPr="00A33F92">
        <w:rPr>
          <w:rFonts w:asciiTheme="minorHAnsi" w:hAnsiTheme="minorHAnsi" w:cstheme="minorHAnsi"/>
          <w:b/>
          <w:bCs/>
          <w:sz w:val="22"/>
        </w:rPr>
        <w:t xml:space="preserve"> </w:t>
      </w:r>
    </w:p>
    <w:p w14:paraId="008BDE43" w14:textId="60570F2C" w:rsidR="00506A77" w:rsidRDefault="00506A77">
      <w:pPr>
        <w:rPr>
          <w:rFonts w:asciiTheme="minorHAnsi" w:hAnsiTheme="minorHAnsi" w:cstheme="minorHAnsi"/>
          <w:sz w:val="22"/>
        </w:rPr>
      </w:pPr>
    </w:p>
    <w:p w14:paraId="5D385471" w14:textId="2365F99E" w:rsidR="00A33F92" w:rsidRPr="00506A77" w:rsidRDefault="00A33F92">
      <w:pPr>
        <w:rPr>
          <w:rFonts w:asciiTheme="minorHAnsi" w:hAnsiTheme="minorHAnsi" w:cstheme="minorHAnsi"/>
          <w:sz w:val="22"/>
        </w:rPr>
      </w:pPr>
      <w:r>
        <w:rPr>
          <w:rFonts w:asciiTheme="minorHAnsi" w:hAnsiTheme="minorHAnsi" w:cstheme="minorHAnsi"/>
          <w:sz w:val="22"/>
        </w:rPr>
        <w:t>Every single Act, the declaration of the State of Emergency, the Emergency Use Authorization, the fraudulent face masks, the business closures, and the OSHA and CMS vaccine mandates are ALL admitted by the conspirators to be acts to coerce the population into taking a vaccine</w:t>
      </w:r>
      <w:proofErr w:type="gramStart"/>
      <w:r>
        <w:rPr>
          <w:rFonts w:asciiTheme="minorHAnsi" w:hAnsiTheme="minorHAnsi" w:cstheme="minorHAnsi"/>
          <w:sz w:val="22"/>
        </w:rPr>
        <w:t xml:space="preserve">.  </w:t>
      </w:r>
      <w:proofErr w:type="gramEnd"/>
      <w:r>
        <w:rPr>
          <w:rFonts w:asciiTheme="minorHAnsi" w:hAnsiTheme="minorHAnsi" w:cstheme="minorHAnsi"/>
          <w:sz w:val="22"/>
        </w:rPr>
        <w:t>They announced it in 2015, the prepared the pathogen in 2016, and laid out the terror campaign in September 2019</w:t>
      </w:r>
      <w:proofErr w:type="gramStart"/>
      <w:r>
        <w:rPr>
          <w:rFonts w:asciiTheme="minorHAnsi" w:hAnsiTheme="minorHAnsi" w:cstheme="minorHAnsi"/>
          <w:sz w:val="22"/>
        </w:rPr>
        <w:t xml:space="preserve">.  </w:t>
      </w:r>
      <w:proofErr w:type="gramEnd"/>
      <w:r>
        <w:rPr>
          <w:rFonts w:asciiTheme="minorHAnsi" w:hAnsiTheme="minorHAnsi" w:cstheme="minorHAnsi"/>
          <w:sz w:val="22"/>
        </w:rPr>
        <w:t>And now they profit from the death of Americans.</w:t>
      </w:r>
    </w:p>
    <w:sectPr w:rsidR="00A33F92" w:rsidRPr="00506A77" w:rsidSect="00A33F9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100DD" w14:textId="77777777" w:rsidR="006244CC" w:rsidRDefault="006244CC" w:rsidP="00BF3C2A">
      <w:pPr>
        <w:spacing w:line="240" w:lineRule="auto"/>
      </w:pPr>
      <w:r>
        <w:separator/>
      </w:r>
    </w:p>
  </w:endnote>
  <w:endnote w:type="continuationSeparator" w:id="0">
    <w:p w14:paraId="3579648B" w14:textId="77777777" w:rsidR="006244CC" w:rsidRDefault="006244CC" w:rsidP="00BF3C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o Text Roman">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0828" w14:textId="77777777" w:rsidR="006244CC" w:rsidRDefault="006244CC" w:rsidP="00BF3C2A">
      <w:pPr>
        <w:spacing w:line="240" w:lineRule="auto"/>
      </w:pPr>
      <w:r>
        <w:separator/>
      </w:r>
    </w:p>
  </w:footnote>
  <w:footnote w:type="continuationSeparator" w:id="0">
    <w:p w14:paraId="2B64084B" w14:textId="77777777" w:rsidR="006244CC" w:rsidRDefault="006244CC" w:rsidP="00BF3C2A">
      <w:pPr>
        <w:spacing w:line="240" w:lineRule="auto"/>
      </w:pPr>
      <w:r>
        <w:continuationSeparator/>
      </w:r>
    </w:p>
  </w:footnote>
  <w:footnote w:id="1">
    <w:p w14:paraId="2C6CB2B4" w14:textId="5867DBBE" w:rsidR="00BF3C2A" w:rsidRPr="00C13F3C" w:rsidRDefault="00BF3C2A" w:rsidP="00BF3C2A">
      <w:pPr>
        <w:rPr>
          <w:rFonts w:cs="Times New Roman"/>
          <w:sz w:val="16"/>
          <w:szCs w:val="16"/>
        </w:rPr>
      </w:pPr>
      <w:r w:rsidRPr="00C13F3C">
        <w:rPr>
          <w:rStyle w:val="FootnoteReference"/>
          <w:sz w:val="16"/>
          <w:szCs w:val="16"/>
        </w:rPr>
        <w:footnoteRef/>
      </w:r>
      <w:r w:rsidRPr="00C13F3C">
        <w:rPr>
          <w:sz w:val="16"/>
          <w:szCs w:val="16"/>
        </w:rPr>
        <w:t xml:space="preserve"> </w:t>
      </w:r>
      <w:r w:rsidRPr="00C13F3C">
        <w:rPr>
          <w:rFonts w:cs="Times New Roman"/>
          <w:sz w:val="16"/>
          <w:szCs w:val="16"/>
        </w:rPr>
        <w:t>We note that gain-of-function specialist, Dr. Ralph Baric, was both the recipient of millions of dollars of U.S. research grants from several federal agencies</w:t>
      </w:r>
      <w:r w:rsidR="00CD60F1" w:rsidRPr="00C13F3C">
        <w:rPr>
          <w:rFonts w:cs="Times New Roman"/>
          <w:sz w:val="16"/>
          <w:szCs w:val="16"/>
        </w:rPr>
        <w:t xml:space="preserve"> and</w:t>
      </w:r>
      <w:r w:rsidRPr="00C13F3C">
        <w:rPr>
          <w:rFonts w:cs="Times New Roman"/>
          <w:sz w:val="16"/>
          <w:szCs w:val="16"/>
        </w:rPr>
        <w:t xml:space="preserve"> sat on the World Health Organization’s International Committee on Taxonomy of Viruses (ICTV) and the </w:t>
      </w:r>
      <w:proofErr w:type="spellStart"/>
      <w:r w:rsidRPr="00C13F3C">
        <w:rPr>
          <w:rFonts w:cs="Times New Roman"/>
          <w:i/>
          <w:iCs/>
          <w:sz w:val="16"/>
          <w:szCs w:val="16"/>
        </w:rPr>
        <w:t>Coronaviridae</w:t>
      </w:r>
      <w:proofErr w:type="spellEnd"/>
      <w:r w:rsidRPr="00C13F3C">
        <w:rPr>
          <w:rFonts w:cs="Times New Roman"/>
          <w:sz w:val="16"/>
          <w:szCs w:val="16"/>
        </w:rPr>
        <w:t xml:space="preserve"> Study Group (CSG)</w:t>
      </w:r>
      <w:proofErr w:type="gramStart"/>
      <w:r w:rsidRPr="00C13F3C">
        <w:rPr>
          <w:rFonts w:cs="Times New Roman"/>
          <w:sz w:val="16"/>
          <w:szCs w:val="16"/>
        </w:rPr>
        <w:t xml:space="preserve">.  </w:t>
      </w:r>
      <w:proofErr w:type="gramEnd"/>
      <w:r w:rsidRPr="00C13F3C">
        <w:rPr>
          <w:rFonts w:cs="Times New Roman"/>
          <w:sz w:val="16"/>
          <w:szCs w:val="16"/>
        </w:rPr>
        <w:t>In this capacity, he was both responsible for determining “novelty” of clades of virus species but directly benefitted from determining declarations of novelty in the form of new research funding authorizations and associated patenting and commercial collaboration</w:t>
      </w:r>
      <w:proofErr w:type="gramStart"/>
      <w:r w:rsidRPr="00C13F3C">
        <w:rPr>
          <w:rFonts w:cs="Times New Roman"/>
          <w:sz w:val="16"/>
          <w:szCs w:val="16"/>
        </w:rPr>
        <w:t xml:space="preserve">.  </w:t>
      </w:r>
      <w:proofErr w:type="gramEnd"/>
      <w:r w:rsidRPr="00C13F3C">
        <w:rPr>
          <w:rFonts w:cs="Times New Roman"/>
          <w:sz w:val="16"/>
          <w:szCs w:val="16"/>
        </w:rPr>
        <w:t>Together with CDC, NIAID, WHO, academic and commercial parties (including Johnson &amp; Johnson; Sanofi and their several coronavirus patent</w:t>
      </w:r>
      <w:r w:rsidR="00CD60F1" w:rsidRPr="00C13F3C">
        <w:rPr>
          <w:rFonts w:cs="Times New Roman"/>
          <w:sz w:val="16"/>
          <w:szCs w:val="16"/>
        </w:rPr>
        <w:t>-</w:t>
      </w:r>
      <w:r w:rsidRPr="00C13F3C">
        <w:rPr>
          <w:rFonts w:cs="Times New Roman"/>
          <w:sz w:val="16"/>
          <w:szCs w:val="16"/>
        </w:rPr>
        <w:t>holding biotech companies; Moderna;</w:t>
      </w:r>
      <w:r w:rsidR="00CD60F1" w:rsidRPr="00C13F3C">
        <w:rPr>
          <w:rFonts w:cs="Times New Roman"/>
          <w:sz w:val="16"/>
          <w:szCs w:val="16"/>
        </w:rPr>
        <w:t xml:space="preserve"> Pfizer; Merck; BioNTech; AstraZeneca; Janssen; </w:t>
      </w:r>
      <w:r w:rsidRPr="00C13F3C">
        <w:rPr>
          <w:rFonts w:cs="Times New Roman"/>
          <w:sz w:val="16"/>
          <w:szCs w:val="16"/>
        </w:rPr>
        <w:t>Ridgeback; Gilead</w:t>
      </w:r>
      <w:r w:rsidR="00400529" w:rsidRPr="00C13F3C">
        <w:rPr>
          <w:rFonts w:cs="Times New Roman"/>
          <w:sz w:val="16"/>
          <w:szCs w:val="16"/>
        </w:rPr>
        <w:t xml:space="preserve"> (Dr. </w:t>
      </w:r>
      <w:proofErr w:type="spellStart"/>
      <w:r w:rsidR="00400529" w:rsidRPr="00C13F3C">
        <w:rPr>
          <w:rFonts w:cs="Times New Roman"/>
          <w:sz w:val="16"/>
          <w:szCs w:val="16"/>
        </w:rPr>
        <w:t>Baric’s</w:t>
      </w:r>
      <w:proofErr w:type="spellEnd"/>
      <w:r w:rsidR="00400529" w:rsidRPr="00C13F3C">
        <w:rPr>
          <w:rFonts w:cs="Times New Roman"/>
          <w:sz w:val="16"/>
          <w:szCs w:val="16"/>
        </w:rPr>
        <w:t xml:space="preserve"> alter ego)</w:t>
      </w:r>
      <w:r w:rsidRPr="00C13F3C">
        <w:rPr>
          <w:rFonts w:cs="Times New Roman"/>
          <w:sz w:val="16"/>
          <w:szCs w:val="16"/>
        </w:rPr>
        <w:t xml:space="preserve">; Sherlock Biosciences; </w:t>
      </w:r>
      <w:r w:rsidR="00400529" w:rsidRPr="00C13F3C">
        <w:rPr>
          <w:rFonts w:cs="Times New Roman"/>
          <w:sz w:val="16"/>
          <w:szCs w:val="16"/>
        </w:rPr>
        <w:t>and</w:t>
      </w:r>
      <w:r w:rsidRPr="00C13F3C">
        <w:rPr>
          <w:rFonts w:cs="Times New Roman"/>
          <w:sz w:val="16"/>
          <w:szCs w:val="16"/>
        </w:rPr>
        <w:t xml:space="preserve"> others), a powerful group of interests constituted what are “interlocking directorates” under U.S. anti-trust laws</w:t>
      </w:r>
      <w:proofErr w:type="gramStart"/>
      <w:r w:rsidRPr="00C13F3C">
        <w:rPr>
          <w:rFonts w:cs="Times New Roman"/>
          <w:sz w:val="16"/>
          <w:szCs w:val="16"/>
        </w:rPr>
        <w:t>.</w:t>
      </w:r>
      <w:r w:rsidR="00D038F3">
        <w:rPr>
          <w:rFonts w:cs="Times New Roman"/>
          <w:sz w:val="16"/>
          <w:szCs w:val="16"/>
        </w:rPr>
        <w:t xml:space="preserve">  </w:t>
      </w:r>
      <w:proofErr w:type="gramEnd"/>
      <w:r w:rsidR="00D038F3">
        <w:rPr>
          <w:rFonts w:cs="Times New Roman"/>
          <w:sz w:val="16"/>
          <w:szCs w:val="16"/>
        </w:rPr>
        <w:t xml:space="preserve">Further, most of these entities, including the Federal Government ones </w:t>
      </w:r>
      <w:r w:rsidR="00D038F3" w:rsidRPr="00D038F3">
        <w:rPr>
          <w:rFonts w:cs="Times New Roman"/>
          <w:b/>
          <w:bCs/>
          <w:sz w:val="16"/>
          <w:szCs w:val="16"/>
          <w:u w:val="single"/>
        </w:rPr>
        <w:t>violated 35 USC § 200-206</w:t>
      </w:r>
      <w:r w:rsidR="00D038F3">
        <w:rPr>
          <w:rFonts w:cs="Times New Roman"/>
          <w:sz w:val="16"/>
          <w:szCs w:val="16"/>
        </w:rPr>
        <w:t xml:space="preserve"> by failing to disclose Federal Government interest in the remedies proposed.</w:t>
      </w:r>
    </w:p>
    <w:p w14:paraId="61107A15" w14:textId="77777777" w:rsidR="00BF3C2A" w:rsidRPr="00C13F3C" w:rsidRDefault="00BF3C2A" w:rsidP="00BF3C2A">
      <w:pPr>
        <w:rPr>
          <w:rFonts w:cs="Times New Roman"/>
          <w:sz w:val="16"/>
          <w:szCs w:val="16"/>
        </w:rPr>
      </w:pPr>
    </w:p>
    <w:p w14:paraId="50285789" w14:textId="25427DDF" w:rsidR="00BF3C2A" w:rsidRPr="00C13F3C" w:rsidRDefault="00BF3C2A" w:rsidP="00BF3C2A">
      <w:pPr>
        <w:rPr>
          <w:rFonts w:cs="Times New Roman"/>
          <w:sz w:val="16"/>
          <w:szCs w:val="16"/>
        </w:rPr>
      </w:pPr>
      <w:r w:rsidRPr="00C13F3C">
        <w:rPr>
          <w:rFonts w:cs="Times New Roman"/>
          <w:sz w:val="16"/>
          <w:szCs w:val="16"/>
        </w:rPr>
        <w:t>These entities were affiliated with the WHO’s Global Preparedness Monitoring Board (GPMB) whose members were instrumental in the Open Philanthropy-funded global coronavirus pandemic “desk-top” exercise EVENT 201 in October 2019</w:t>
      </w:r>
      <w:proofErr w:type="gramStart"/>
      <w:r w:rsidRPr="00C13F3C">
        <w:rPr>
          <w:rFonts w:cs="Times New Roman"/>
          <w:sz w:val="16"/>
          <w:szCs w:val="16"/>
        </w:rPr>
        <w:t xml:space="preserve">.  </w:t>
      </w:r>
      <w:proofErr w:type="gramEnd"/>
      <w:r w:rsidRPr="00C13F3C">
        <w:rPr>
          <w:rFonts w:cs="Times New Roman"/>
          <w:sz w:val="16"/>
          <w:szCs w:val="16"/>
        </w:rPr>
        <w:t>This event, funded by the principal investor in Sherlock Biosciences</w:t>
      </w:r>
      <w:r w:rsidR="00CD60F1" w:rsidRPr="00C13F3C">
        <w:rPr>
          <w:rFonts w:cs="Times New Roman"/>
          <w:sz w:val="16"/>
          <w:szCs w:val="16"/>
        </w:rPr>
        <w:t xml:space="preserve"> (a beneficiary of the SARS CoV-2 EUA for CRISPR technology)</w:t>
      </w:r>
      <w:r w:rsidRPr="00C13F3C">
        <w:rPr>
          <w:rFonts w:cs="Times New Roman"/>
          <w:sz w:val="16"/>
          <w:szCs w:val="16"/>
        </w:rPr>
        <w:t xml:space="preserve"> and linking interlocking funding partner, the </w:t>
      </w:r>
      <w:proofErr w:type="gramStart"/>
      <w:r w:rsidRPr="00C13F3C">
        <w:rPr>
          <w:rFonts w:cs="Times New Roman"/>
          <w:sz w:val="16"/>
          <w:szCs w:val="16"/>
        </w:rPr>
        <w:t>Bill</w:t>
      </w:r>
      <w:proofErr w:type="gramEnd"/>
      <w:r w:rsidRPr="00C13F3C">
        <w:rPr>
          <w:rFonts w:cs="Times New Roman"/>
          <w:sz w:val="16"/>
          <w:szCs w:val="16"/>
        </w:rPr>
        <w:t xml:space="preserve"> and Melinda Gates Foundation into the GPMB mandate</w:t>
      </w:r>
      <w:r w:rsidR="00CD60F1" w:rsidRPr="00C13F3C">
        <w:rPr>
          <w:rFonts w:cs="Times New Roman"/>
          <w:sz w:val="16"/>
          <w:szCs w:val="16"/>
        </w:rPr>
        <w:t>d</w:t>
      </w:r>
      <w:r w:rsidRPr="00C13F3C">
        <w:rPr>
          <w:rFonts w:cs="Times New Roman"/>
          <w:sz w:val="16"/>
          <w:szCs w:val="16"/>
        </w:rPr>
        <w:t xml:space="preserve"> a respiratory disease global preparedness exercise to be completed by September 2020</w:t>
      </w:r>
      <w:r w:rsidR="00CD60F1" w:rsidRPr="00C13F3C">
        <w:rPr>
          <w:rFonts w:cs="Times New Roman"/>
          <w:sz w:val="16"/>
          <w:szCs w:val="16"/>
        </w:rPr>
        <w:t xml:space="preserve"> and</w:t>
      </w:r>
      <w:r w:rsidRPr="00C13F3C">
        <w:rPr>
          <w:rFonts w:cs="Times New Roman"/>
          <w:sz w:val="16"/>
          <w:szCs w:val="16"/>
        </w:rPr>
        <w:t xml:space="preserve"> alerted us to anticipate an “epidemic” scenario.  We expected to see such a scenario emerge from Wuhan or Guangdong China, northern Italy, Seattle, </w:t>
      </w:r>
      <w:proofErr w:type="gramStart"/>
      <w:r w:rsidRPr="00C13F3C">
        <w:rPr>
          <w:rFonts w:cs="Times New Roman"/>
          <w:sz w:val="16"/>
          <w:szCs w:val="16"/>
        </w:rPr>
        <w:t>New York</w:t>
      </w:r>
      <w:proofErr w:type="gramEnd"/>
      <w:r w:rsidRPr="00C13F3C">
        <w:rPr>
          <w:rFonts w:cs="Times New Roman"/>
          <w:sz w:val="16"/>
          <w:szCs w:val="16"/>
        </w:rPr>
        <w:t xml:space="preserve"> or a combination thereof, as Dr. </w:t>
      </w:r>
      <w:proofErr w:type="spellStart"/>
      <w:r w:rsidRPr="00C13F3C">
        <w:rPr>
          <w:rFonts w:cs="Times New Roman"/>
          <w:sz w:val="16"/>
          <w:szCs w:val="16"/>
        </w:rPr>
        <w:t>Zhengli</w:t>
      </w:r>
      <w:proofErr w:type="spellEnd"/>
      <w:r w:rsidRPr="00C13F3C">
        <w:rPr>
          <w:rFonts w:cs="Times New Roman"/>
          <w:sz w:val="16"/>
          <w:szCs w:val="16"/>
        </w:rPr>
        <w:t xml:space="preserve"> Shi and Dr. </w:t>
      </w:r>
      <w:proofErr w:type="spellStart"/>
      <w:r w:rsidRPr="00C13F3C">
        <w:rPr>
          <w:rFonts w:cs="Times New Roman"/>
          <w:sz w:val="16"/>
          <w:szCs w:val="16"/>
        </w:rPr>
        <w:t>Baric’s</w:t>
      </w:r>
      <w:proofErr w:type="spellEnd"/>
      <w:r w:rsidRPr="00C13F3C">
        <w:rPr>
          <w:rFonts w:cs="Times New Roman"/>
          <w:sz w:val="16"/>
          <w:szCs w:val="16"/>
        </w:rPr>
        <w:t xml:space="preserve"> work on zoonotic transmission of coronavirus identified overlapping mutations in coronavirus in bat populations located in these areas.  </w:t>
      </w:r>
    </w:p>
    <w:p w14:paraId="6C411801" w14:textId="36B30FCB" w:rsidR="00BF3C2A" w:rsidRPr="00C13F3C" w:rsidRDefault="00BF3C2A">
      <w:pPr>
        <w:pStyle w:val="FootnoteText"/>
        <w:rPr>
          <w:sz w:val="16"/>
          <w:szCs w:val="16"/>
        </w:rPr>
      </w:pPr>
    </w:p>
  </w:footnote>
  <w:footnote w:id="2">
    <w:p w14:paraId="44782AE8" w14:textId="0F846B50" w:rsidR="00943B25" w:rsidRPr="00C13F3C" w:rsidRDefault="00943B25">
      <w:pPr>
        <w:pStyle w:val="FootnoteText"/>
        <w:rPr>
          <w:rFonts w:cstheme="minorHAnsi"/>
          <w:sz w:val="16"/>
          <w:szCs w:val="16"/>
        </w:rPr>
      </w:pPr>
      <w:r w:rsidRPr="00C13F3C">
        <w:rPr>
          <w:rStyle w:val="FootnoteReference"/>
          <w:sz w:val="16"/>
          <w:szCs w:val="16"/>
        </w:rPr>
        <w:footnoteRef/>
      </w:r>
      <w:r w:rsidRPr="00C13F3C">
        <w:rPr>
          <w:sz w:val="16"/>
          <w:szCs w:val="16"/>
        </w:rPr>
        <w:t xml:space="preserve"> </w:t>
      </w:r>
      <w:r w:rsidRPr="00C13F3C">
        <w:rPr>
          <w:rFonts w:cstheme="minorHAnsi"/>
          <w:sz w:val="16"/>
          <w:szCs w:val="16"/>
        </w:rPr>
        <w:t>By October 2013, the Wuhan Institute of Virology 1 coronavirus S1 spike protein was described in NIAID’s funded work in China</w:t>
      </w:r>
      <w:proofErr w:type="gramStart"/>
      <w:r w:rsidRPr="00C13F3C">
        <w:rPr>
          <w:rFonts w:cstheme="minorHAnsi"/>
          <w:sz w:val="16"/>
          <w:szCs w:val="16"/>
        </w:rPr>
        <w:t xml:space="preserve">.  </w:t>
      </w:r>
      <w:proofErr w:type="gramEnd"/>
      <w:r w:rsidRPr="00C13F3C">
        <w:rPr>
          <w:rFonts w:cstheme="minorHAnsi"/>
          <w:sz w:val="16"/>
          <w:szCs w:val="16"/>
        </w:rPr>
        <w:t xml:space="preserve">This work involved NIAID, USAID, and Peter </w:t>
      </w:r>
      <w:proofErr w:type="spellStart"/>
      <w:r w:rsidRPr="00C13F3C">
        <w:rPr>
          <w:rFonts w:cstheme="minorHAnsi"/>
          <w:sz w:val="16"/>
          <w:szCs w:val="16"/>
        </w:rPr>
        <w:t>Daszak</w:t>
      </w:r>
      <w:proofErr w:type="spellEnd"/>
      <w:r w:rsidRPr="00C13F3C">
        <w:rPr>
          <w:rFonts w:cstheme="minorHAnsi"/>
          <w:sz w:val="16"/>
          <w:szCs w:val="16"/>
        </w:rPr>
        <w:t xml:space="preserve">, the head of </w:t>
      </w:r>
      <w:proofErr w:type="spellStart"/>
      <w:r w:rsidRPr="00C13F3C">
        <w:rPr>
          <w:rFonts w:cstheme="minorHAnsi"/>
          <w:sz w:val="16"/>
          <w:szCs w:val="16"/>
        </w:rPr>
        <w:t>EcoHealth</w:t>
      </w:r>
      <w:proofErr w:type="spellEnd"/>
      <w:r w:rsidRPr="00C13F3C">
        <w:rPr>
          <w:rFonts w:cstheme="minorHAnsi"/>
          <w:sz w:val="16"/>
          <w:szCs w:val="16"/>
        </w:rPr>
        <w:t xml:space="preserve"> Alliance</w:t>
      </w:r>
      <w:proofErr w:type="gramStart"/>
      <w:r w:rsidRPr="00C13F3C">
        <w:rPr>
          <w:rFonts w:cstheme="minorHAnsi"/>
          <w:sz w:val="16"/>
          <w:szCs w:val="16"/>
        </w:rPr>
        <w:t xml:space="preserve">.  </w:t>
      </w:r>
      <w:proofErr w:type="gramEnd"/>
      <w:r w:rsidRPr="00C13F3C">
        <w:rPr>
          <w:rFonts w:cstheme="minorHAnsi"/>
          <w:sz w:val="16"/>
          <w:szCs w:val="16"/>
        </w:rPr>
        <w:t>This work, funded under R01AI079231, was pivotal in isolating and manipulating viral fragments selected from sites across China which contained high risk for severe human response. (</w:t>
      </w:r>
      <w:r w:rsidRPr="00C13F3C">
        <w:rPr>
          <w:rFonts w:cstheme="minorHAnsi"/>
          <w:sz w:val="16"/>
          <w:szCs w:val="16"/>
          <w:shd w:val="clear" w:color="auto" w:fill="FFFFFF"/>
        </w:rPr>
        <w:t>Ge, XY., Li, JL., Yang, XL. </w:t>
      </w:r>
      <w:r w:rsidRPr="00C13F3C">
        <w:rPr>
          <w:rFonts w:cstheme="minorHAnsi"/>
          <w:i/>
          <w:iCs/>
          <w:sz w:val="16"/>
          <w:szCs w:val="16"/>
          <w:shd w:val="clear" w:color="auto" w:fill="FFFFFF"/>
        </w:rPr>
        <w:t>et al.</w:t>
      </w:r>
      <w:r w:rsidRPr="00C13F3C">
        <w:rPr>
          <w:rFonts w:cstheme="minorHAnsi"/>
          <w:sz w:val="16"/>
          <w:szCs w:val="16"/>
          <w:shd w:val="clear" w:color="auto" w:fill="FFFFFF"/>
        </w:rPr>
        <w:t> Isolation and characterization of a bat SARS-like coronavirus that uses the ACE2 receptor. </w:t>
      </w:r>
      <w:r w:rsidRPr="00C13F3C">
        <w:rPr>
          <w:rFonts w:cstheme="minorHAnsi"/>
          <w:i/>
          <w:iCs/>
          <w:sz w:val="16"/>
          <w:szCs w:val="16"/>
          <w:shd w:val="clear" w:color="auto" w:fill="FFFFFF"/>
        </w:rPr>
        <w:t>Nature</w:t>
      </w:r>
      <w:r w:rsidRPr="00C13F3C">
        <w:rPr>
          <w:rFonts w:cstheme="minorHAnsi"/>
          <w:sz w:val="16"/>
          <w:szCs w:val="16"/>
          <w:shd w:val="clear" w:color="auto" w:fill="FFFFFF"/>
        </w:rPr>
        <w:t> </w:t>
      </w:r>
      <w:r w:rsidRPr="00C13F3C">
        <w:rPr>
          <w:rFonts w:cstheme="minorHAnsi"/>
          <w:b/>
          <w:bCs/>
          <w:sz w:val="16"/>
          <w:szCs w:val="16"/>
          <w:shd w:val="clear" w:color="auto" w:fill="FFFFFF"/>
        </w:rPr>
        <w:t>503, </w:t>
      </w:r>
      <w:r w:rsidRPr="00C13F3C">
        <w:rPr>
          <w:rFonts w:cstheme="minorHAnsi"/>
          <w:sz w:val="16"/>
          <w:szCs w:val="16"/>
          <w:shd w:val="clear" w:color="auto" w:fill="FFFFFF"/>
        </w:rPr>
        <w:t>535–538 (2013).</w:t>
      </w:r>
      <w:r w:rsidR="002636C7" w:rsidRPr="00C13F3C">
        <w:rPr>
          <w:rFonts w:cstheme="minorHAnsi"/>
          <w:sz w:val="16"/>
          <w:szCs w:val="16"/>
          <w:shd w:val="clear" w:color="auto" w:fill="FFFFFF"/>
        </w:rPr>
        <w:t>)</w:t>
      </w:r>
      <w:r w:rsidRPr="00C13F3C">
        <w:rPr>
          <w:rFonts w:cstheme="minorHAnsi"/>
          <w:sz w:val="16"/>
          <w:szCs w:val="16"/>
        </w:rPr>
        <w:t xml:space="preserve">  The </w:t>
      </w:r>
      <w:proofErr w:type="spellStart"/>
      <w:r w:rsidRPr="00C13F3C">
        <w:rPr>
          <w:rFonts w:cstheme="minorHAnsi"/>
          <w:sz w:val="16"/>
          <w:szCs w:val="16"/>
        </w:rPr>
        <w:t>GoF</w:t>
      </w:r>
      <w:proofErr w:type="spellEnd"/>
      <w:r w:rsidRPr="00C13F3C">
        <w:rPr>
          <w:rFonts w:cstheme="minorHAnsi"/>
          <w:sz w:val="16"/>
          <w:szCs w:val="16"/>
        </w:rPr>
        <w:t xml:space="preserve"> work NIAID allowed to persist in the face of the moratorium was Dr. </w:t>
      </w:r>
      <w:proofErr w:type="spellStart"/>
      <w:r w:rsidRPr="00C13F3C">
        <w:rPr>
          <w:rFonts w:cstheme="minorHAnsi"/>
          <w:sz w:val="16"/>
          <w:szCs w:val="16"/>
        </w:rPr>
        <w:t>Baric’s</w:t>
      </w:r>
      <w:proofErr w:type="spellEnd"/>
      <w:r w:rsidRPr="00C13F3C">
        <w:rPr>
          <w:rFonts w:cstheme="minorHAnsi"/>
          <w:sz w:val="16"/>
          <w:szCs w:val="16"/>
        </w:rPr>
        <w:t xml:space="preserve"> work with this pathogen</w:t>
      </w:r>
    </w:p>
    <w:p w14:paraId="66158EA3" w14:textId="77777777" w:rsidR="002636C7" w:rsidRPr="00C13F3C" w:rsidRDefault="002636C7">
      <w:pPr>
        <w:pStyle w:val="FootnoteText"/>
        <w:rPr>
          <w:sz w:val="16"/>
          <w:szCs w:val="16"/>
        </w:rPr>
      </w:pPr>
    </w:p>
  </w:footnote>
  <w:footnote w:id="3">
    <w:p w14:paraId="366A08DC" w14:textId="77777777" w:rsidR="002636C7" w:rsidRPr="00C13F3C" w:rsidRDefault="002636C7" w:rsidP="002636C7">
      <w:pPr>
        <w:pStyle w:val="FootnoteText"/>
        <w:rPr>
          <w:rFonts w:cstheme="minorHAnsi"/>
          <w:sz w:val="16"/>
          <w:szCs w:val="18"/>
        </w:rPr>
      </w:pPr>
      <w:r w:rsidRPr="00C13F3C">
        <w:rPr>
          <w:rStyle w:val="FootnoteReference"/>
          <w:sz w:val="16"/>
        </w:rPr>
        <w:footnoteRef/>
      </w:r>
      <w:r w:rsidRPr="00C13F3C">
        <w:rPr>
          <w:sz w:val="16"/>
        </w:rPr>
        <w:t xml:space="preserve"> </w:t>
      </w:r>
      <w:r w:rsidRPr="00C13F3C">
        <w:rPr>
          <w:rFonts w:cstheme="minorHAnsi"/>
          <w:sz w:val="16"/>
          <w:szCs w:val="16"/>
          <w:shd w:val="clear" w:color="auto" w:fill="FFFFFF"/>
        </w:rPr>
        <w:t>Forum on Medical and Public Health Preparedness for Catastrophic Events; Forum on Drug Discovery, Development, and Translation; Forum on Microbial Threats; Board on Health Sciences Policy; Board on Global Health; Institute of Medicine; National Academies of Sciences, Engineering, and Medicine. Rapid Medical Countermeasure Response to Infectious Diseases: Enabling Sustainable Capabilities Through Ongoing Public- and Private-Sector Partnerships: Workshop Summary. Washington (DC): National Academies Press (US); 2016 Feb 12. 6, Developing MCMs for Coronaviruses.</w:t>
      </w:r>
      <w:r w:rsidRPr="00C13F3C">
        <w:rPr>
          <w:rStyle w:val="bkciteavail"/>
          <w:rFonts w:cstheme="minorHAnsi"/>
          <w:sz w:val="16"/>
          <w:szCs w:val="16"/>
          <w:shd w:val="clear" w:color="auto" w:fill="FFFFFF"/>
        </w:rPr>
        <w:t> Available from: https://www.ncbi.nlm.nih.gov/books/NBK349040/</w:t>
      </w:r>
    </w:p>
    <w:p w14:paraId="69AD3B8B" w14:textId="1CE2C334" w:rsidR="002636C7" w:rsidRPr="00C13F3C" w:rsidRDefault="002636C7">
      <w:pPr>
        <w:pStyle w:val="FootnoteText"/>
        <w:rPr>
          <w:sz w:val="16"/>
        </w:rPr>
      </w:pPr>
    </w:p>
  </w:footnote>
  <w:footnote w:id="4">
    <w:p w14:paraId="4867E75C" w14:textId="7FD316CD" w:rsidR="008F00B2" w:rsidRDefault="008F00B2" w:rsidP="00C13F3C">
      <w:pPr>
        <w:pStyle w:val="Default"/>
        <w:rPr>
          <w:rFonts w:ascii="Century Gothic" w:hAnsi="Century Gothic"/>
          <w:sz w:val="16"/>
          <w:szCs w:val="22"/>
        </w:rPr>
      </w:pPr>
      <w:r w:rsidRPr="00C13F3C">
        <w:rPr>
          <w:rStyle w:val="FootnoteReference"/>
          <w:rFonts w:ascii="Century Gothic" w:hAnsi="Century Gothic"/>
          <w:sz w:val="16"/>
        </w:rPr>
        <w:footnoteRef/>
      </w:r>
      <w:r w:rsidRPr="00C13F3C">
        <w:rPr>
          <w:rFonts w:ascii="Century Gothic" w:hAnsi="Century Gothic"/>
          <w:sz w:val="16"/>
        </w:rPr>
        <w:t xml:space="preserve"> </w:t>
      </w:r>
      <w:proofErr w:type="spellStart"/>
      <w:r w:rsidRPr="00C13F3C">
        <w:rPr>
          <w:rFonts w:ascii="Century Gothic" w:hAnsi="Century Gothic"/>
          <w:sz w:val="16"/>
          <w:szCs w:val="22"/>
        </w:rPr>
        <w:t>Menachery</w:t>
      </w:r>
      <w:proofErr w:type="spellEnd"/>
      <w:r w:rsidRPr="00C13F3C">
        <w:rPr>
          <w:rFonts w:ascii="Century Gothic" w:hAnsi="Century Gothic"/>
          <w:sz w:val="16"/>
          <w:szCs w:val="22"/>
        </w:rPr>
        <w:t xml:space="preserve"> VD, </w:t>
      </w:r>
      <w:proofErr w:type="spellStart"/>
      <w:r w:rsidRPr="00C13F3C">
        <w:rPr>
          <w:rFonts w:ascii="Century Gothic" w:hAnsi="Century Gothic"/>
          <w:sz w:val="16"/>
          <w:szCs w:val="22"/>
        </w:rPr>
        <w:t>Yount</w:t>
      </w:r>
      <w:proofErr w:type="spellEnd"/>
      <w:r w:rsidRPr="00C13F3C">
        <w:rPr>
          <w:rFonts w:ascii="Century Gothic" w:hAnsi="Century Gothic"/>
          <w:sz w:val="16"/>
          <w:szCs w:val="22"/>
        </w:rPr>
        <w:t xml:space="preserve"> BL Jr, Sims AC, </w:t>
      </w:r>
      <w:proofErr w:type="spellStart"/>
      <w:r w:rsidRPr="00C13F3C">
        <w:rPr>
          <w:rFonts w:ascii="Century Gothic" w:hAnsi="Century Gothic"/>
          <w:sz w:val="16"/>
          <w:szCs w:val="22"/>
        </w:rPr>
        <w:t>Debbink</w:t>
      </w:r>
      <w:proofErr w:type="spellEnd"/>
      <w:r w:rsidRPr="00C13F3C">
        <w:rPr>
          <w:rFonts w:ascii="Century Gothic" w:hAnsi="Century Gothic"/>
          <w:sz w:val="16"/>
          <w:szCs w:val="22"/>
        </w:rPr>
        <w:t xml:space="preserve"> K, </w:t>
      </w:r>
      <w:proofErr w:type="spellStart"/>
      <w:r w:rsidRPr="00C13F3C">
        <w:rPr>
          <w:rFonts w:ascii="Century Gothic" w:hAnsi="Century Gothic"/>
          <w:sz w:val="16"/>
          <w:szCs w:val="22"/>
        </w:rPr>
        <w:t>Agnihothram</w:t>
      </w:r>
      <w:proofErr w:type="spellEnd"/>
      <w:r w:rsidRPr="00C13F3C">
        <w:rPr>
          <w:rFonts w:ascii="Century Gothic" w:hAnsi="Century Gothic"/>
          <w:sz w:val="16"/>
          <w:szCs w:val="22"/>
        </w:rPr>
        <w:t xml:space="preserve"> SS, </w:t>
      </w:r>
      <w:proofErr w:type="spellStart"/>
      <w:r w:rsidRPr="00C13F3C">
        <w:rPr>
          <w:rFonts w:ascii="Century Gothic" w:hAnsi="Century Gothic"/>
          <w:sz w:val="16"/>
          <w:szCs w:val="22"/>
        </w:rPr>
        <w:t>Gralinski</w:t>
      </w:r>
      <w:proofErr w:type="spellEnd"/>
      <w:r w:rsidRPr="00C13F3C">
        <w:rPr>
          <w:rFonts w:ascii="Century Gothic" w:hAnsi="Century Gothic"/>
          <w:sz w:val="16"/>
          <w:szCs w:val="22"/>
        </w:rPr>
        <w:t xml:space="preserve"> LE, Graham RL, Scobey T, Plante JA, Royal SR, Swanstrom J, Sheahan TP, Pickles RJ, </w:t>
      </w:r>
      <w:proofErr w:type="spellStart"/>
      <w:r w:rsidRPr="00C13F3C">
        <w:rPr>
          <w:rFonts w:ascii="Century Gothic" w:hAnsi="Century Gothic"/>
          <w:sz w:val="16"/>
          <w:szCs w:val="22"/>
        </w:rPr>
        <w:t>Corti</w:t>
      </w:r>
      <w:proofErr w:type="spellEnd"/>
      <w:r w:rsidRPr="00C13F3C">
        <w:rPr>
          <w:rFonts w:ascii="Century Gothic" w:hAnsi="Century Gothic"/>
          <w:sz w:val="16"/>
          <w:szCs w:val="22"/>
        </w:rPr>
        <w:t xml:space="preserve"> D, Randell SH, </w:t>
      </w:r>
      <w:proofErr w:type="spellStart"/>
      <w:r w:rsidRPr="00C13F3C">
        <w:rPr>
          <w:rFonts w:ascii="Century Gothic" w:hAnsi="Century Gothic"/>
          <w:sz w:val="16"/>
          <w:szCs w:val="22"/>
        </w:rPr>
        <w:t>Lanzavecchia</w:t>
      </w:r>
      <w:proofErr w:type="spellEnd"/>
      <w:r w:rsidRPr="00C13F3C">
        <w:rPr>
          <w:rFonts w:ascii="Century Gothic" w:hAnsi="Century Gothic"/>
          <w:sz w:val="16"/>
          <w:szCs w:val="22"/>
        </w:rPr>
        <w:t xml:space="preserve"> A, Marasco WA, </w:t>
      </w:r>
      <w:r w:rsidRPr="00C13F3C">
        <w:rPr>
          <w:rFonts w:ascii="Century Gothic" w:hAnsi="Century Gothic"/>
          <w:b/>
          <w:bCs/>
          <w:sz w:val="16"/>
          <w:szCs w:val="22"/>
        </w:rPr>
        <w:t>Baric RS</w:t>
      </w:r>
      <w:r w:rsidRPr="00C13F3C">
        <w:rPr>
          <w:rFonts w:ascii="Century Gothic" w:hAnsi="Century Gothic"/>
          <w:sz w:val="16"/>
          <w:szCs w:val="22"/>
        </w:rPr>
        <w:t xml:space="preserve">. 2016. </w:t>
      </w:r>
      <w:r w:rsidRPr="00C13F3C">
        <w:rPr>
          <w:rFonts w:ascii="Century Gothic" w:hAnsi="Century Gothic"/>
          <w:i/>
          <w:iCs/>
          <w:sz w:val="16"/>
          <w:szCs w:val="22"/>
          <w:u w:val="single"/>
        </w:rPr>
        <w:t>SARS-like WIV1-CoV poised for human emergence</w:t>
      </w:r>
      <w:r w:rsidRPr="00C13F3C">
        <w:rPr>
          <w:rFonts w:ascii="Century Gothic" w:hAnsi="Century Gothic"/>
          <w:sz w:val="16"/>
          <w:szCs w:val="22"/>
        </w:rPr>
        <w:t xml:space="preserve">. </w:t>
      </w:r>
      <w:r w:rsidRPr="00C13F3C">
        <w:rPr>
          <w:rFonts w:ascii="Century Gothic" w:hAnsi="Century Gothic"/>
          <w:b/>
          <w:bCs/>
          <w:sz w:val="16"/>
          <w:szCs w:val="22"/>
        </w:rPr>
        <w:t xml:space="preserve">Proc Natl </w:t>
      </w:r>
      <w:proofErr w:type="spellStart"/>
      <w:r w:rsidRPr="00C13F3C">
        <w:rPr>
          <w:rFonts w:ascii="Century Gothic" w:hAnsi="Century Gothic"/>
          <w:b/>
          <w:bCs/>
          <w:sz w:val="16"/>
          <w:szCs w:val="22"/>
        </w:rPr>
        <w:t>Acad</w:t>
      </w:r>
      <w:proofErr w:type="spellEnd"/>
      <w:r w:rsidRPr="00C13F3C">
        <w:rPr>
          <w:rFonts w:ascii="Century Gothic" w:hAnsi="Century Gothic"/>
          <w:b/>
          <w:bCs/>
          <w:sz w:val="16"/>
          <w:szCs w:val="22"/>
        </w:rPr>
        <w:t xml:space="preserve"> Sci U S A. 2016 </w:t>
      </w:r>
      <w:r w:rsidRPr="00C13F3C">
        <w:rPr>
          <w:rFonts w:ascii="Century Gothic" w:hAnsi="Century Gothic"/>
          <w:sz w:val="16"/>
          <w:szCs w:val="22"/>
        </w:rPr>
        <w:t xml:space="preserve">Mar 14. </w:t>
      </w:r>
      <w:proofErr w:type="spellStart"/>
      <w:r w:rsidRPr="00C13F3C">
        <w:rPr>
          <w:rFonts w:ascii="Century Gothic" w:hAnsi="Century Gothic"/>
          <w:sz w:val="16"/>
          <w:szCs w:val="22"/>
        </w:rPr>
        <w:t>pii</w:t>
      </w:r>
      <w:proofErr w:type="spellEnd"/>
      <w:r w:rsidRPr="00C13F3C">
        <w:rPr>
          <w:rFonts w:ascii="Century Gothic" w:hAnsi="Century Gothic"/>
          <w:sz w:val="16"/>
          <w:szCs w:val="22"/>
        </w:rPr>
        <w:t xml:space="preserve">: 201517719 </w:t>
      </w:r>
    </w:p>
    <w:p w14:paraId="601EC463" w14:textId="77777777" w:rsidR="00C13F3C" w:rsidRPr="00C13F3C" w:rsidRDefault="00C13F3C" w:rsidP="00C13F3C">
      <w:pPr>
        <w:pStyle w:val="Default"/>
        <w:rPr>
          <w:rFonts w:ascii="Century Gothic" w:hAnsi="Century Gothic"/>
          <w:sz w:val="16"/>
        </w:rPr>
      </w:pPr>
    </w:p>
  </w:footnote>
  <w:footnote w:id="5">
    <w:p w14:paraId="55A612F2" w14:textId="1760E501" w:rsidR="008F00B2" w:rsidRDefault="008F00B2" w:rsidP="008F00B2">
      <w:pPr>
        <w:pStyle w:val="FootnoteText"/>
        <w:rPr>
          <w:sz w:val="16"/>
          <w:szCs w:val="16"/>
        </w:rPr>
      </w:pPr>
      <w:r w:rsidRPr="00C13F3C">
        <w:rPr>
          <w:rStyle w:val="FootnoteReference"/>
          <w:sz w:val="16"/>
          <w:szCs w:val="16"/>
        </w:rPr>
        <w:footnoteRef/>
      </w:r>
      <w:r w:rsidRPr="00C13F3C">
        <w:rPr>
          <w:sz w:val="16"/>
          <w:szCs w:val="16"/>
        </w:rPr>
        <w:t xml:space="preserve"> https://apps.who.int/gpmb/assets/annual_report/GPMB_annualreport_2019.pdf (page 8)</w:t>
      </w:r>
    </w:p>
    <w:p w14:paraId="7B3E256F" w14:textId="77777777" w:rsidR="00C13F3C" w:rsidRPr="00C13F3C" w:rsidRDefault="00C13F3C" w:rsidP="008F00B2">
      <w:pPr>
        <w:pStyle w:val="FootnoteText"/>
        <w:rPr>
          <w:sz w:val="16"/>
          <w:szCs w:val="16"/>
        </w:rPr>
      </w:pPr>
    </w:p>
  </w:footnote>
  <w:footnote w:id="6">
    <w:p w14:paraId="5F31B7F0" w14:textId="77777777" w:rsidR="008F00B2" w:rsidRPr="00C13F3C" w:rsidRDefault="008F00B2" w:rsidP="008F00B2">
      <w:pPr>
        <w:pStyle w:val="FootnoteText"/>
        <w:rPr>
          <w:sz w:val="16"/>
        </w:rPr>
      </w:pPr>
      <w:r w:rsidRPr="00C13F3C">
        <w:rPr>
          <w:rStyle w:val="FootnoteReference"/>
          <w:sz w:val="16"/>
          <w:szCs w:val="16"/>
        </w:rPr>
        <w:footnoteRef/>
      </w:r>
      <w:r w:rsidRPr="00C13F3C">
        <w:rPr>
          <w:sz w:val="16"/>
          <w:szCs w:val="16"/>
        </w:rPr>
        <w:t xml:space="preserve"> https://www.statnews.com/2020/02/10/fluctuating-funding-and-flagging-interest-hurt-coronavirus-research/</w:t>
      </w:r>
    </w:p>
  </w:footnote>
  <w:footnote w:id="7">
    <w:p w14:paraId="6506B2F5" w14:textId="2F7FC3F6" w:rsidR="00A64165" w:rsidRPr="00A64165" w:rsidRDefault="00A64165">
      <w:pPr>
        <w:pStyle w:val="FootnoteText"/>
        <w:rPr>
          <w:sz w:val="16"/>
          <w:szCs w:val="16"/>
        </w:rPr>
      </w:pPr>
      <w:r w:rsidRPr="00A64165">
        <w:rPr>
          <w:rStyle w:val="FootnoteReference"/>
          <w:sz w:val="16"/>
          <w:szCs w:val="16"/>
        </w:rPr>
        <w:footnoteRef/>
      </w:r>
      <w:r w:rsidRPr="00A64165">
        <w:rPr>
          <w:sz w:val="16"/>
          <w:szCs w:val="16"/>
        </w:rPr>
        <w:t xml:space="preserve"> https://pubmed.ncbi.nlm.nih.gov/32756549/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6"/>
    <w:rsid w:val="00003376"/>
    <w:rsid w:val="000B11CD"/>
    <w:rsid w:val="000E5FE7"/>
    <w:rsid w:val="00155DBD"/>
    <w:rsid w:val="002464F4"/>
    <w:rsid w:val="002636C7"/>
    <w:rsid w:val="00275AFD"/>
    <w:rsid w:val="002D1AB6"/>
    <w:rsid w:val="00315638"/>
    <w:rsid w:val="00333E23"/>
    <w:rsid w:val="003B1408"/>
    <w:rsid w:val="003C7AED"/>
    <w:rsid w:val="003E6D29"/>
    <w:rsid w:val="00400529"/>
    <w:rsid w:val="004C2D8F"/>
    <w:rsid w:val="004F7F00"/>
    <w:rsid w:val="00506A77"/>
    <w:rsid w:val="0062100C"/>
    <w:rsid w:val="006244CC"/>
    <w:rsid w:val="006B3557"/>
    <w:rsid w:val="008E313F"/>
    <w:rsid w:val="008F00B2"/>
    <w:rsid w:val="00943B25"/>
    <w:rsid w:val="009F6B0F"/>
    <w:rsid w:val="00A33F92"/>
    <w:rsid w:val="00A45746"/>
    <w:rsid w:val="00A64165"/>
    <w:rsid w:val="00AF7FAE"/>
    <w:rsid w:val="00B04C72"/>
    <w:rsid w:val="00B54B8E"/>
    <w:rsid w:val="00BC4E49"/>
    <w:rsid w:val="00BF3C2A"/>
    <w:rsid w:val="00C13F3C"/>
    <w:rsid w:val="00C16F81"/>
    <w:rsid w:val="00C62B92"/>
    <w:rsid w:val="00CA3FF2"/>
    <w:rsid w:val="00CD60F1"/>
    <w:rsid w:val="00CF19FA"/>
    <w:rsid w:val="00D038F3"/>
    <w:rsid w:val="00D86085"/>
    <w:rsid w:val="00E14268"/>
    <w:rsid w:val="00F05311"/>
    <w:rsid w:val="00F20C0F"/>
    <w:rsid w:val="00F72C49"/>
    <w:rsid w:val="00F73D64"/>
    <w:rsid w:val="00FE3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A3C2"/>
  <w15:chartTrackingRefBased/>
  <w15:docId w15:val="{8F6F1A0A-8A81-454C-AD2C-27821098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13F"/>
    <w:pPr>
      <w:spacing w:after="0"/>
    </w:pPr>
    <w:rPr>
      <w:rFonts w:ascii="Century Gothic" w:hAnsi="Century Gothic"/>
      <w:sz w:val="20"/>
    </w:rPr>
  </w:style>
  <w:style w:type="paragraph" w:styleId="Heading1">
    <w:name w:val="heading 1"/>
    <w:basedOn w:val="Normal"/>
    <w:next w:val="Normal"/>
    <w:link w:val="Heading1Char"/>
    <w:uiPriority w:val="9"/>
    <w:qFormat/>
    <w:rsid w:val="00506A77"/>
    <w:pPr>
      <w:keepNext/>
      <w:keepLines/>
      <w:spacing w:before="240" w:line="240" w:lineRule="auto"/>
      <w:outlineLvl w:val="0"/>
    </w:pPr>
    <w:rPr>
      <w:rFonts w:asciiTheme="majorHAnsi" w:eastAsiaTheme="majorEastAsia" w:hAnsiTheme="majorHAnsi" w:cstheme="majorBidi"/>
      <w:color w:val="1F3864" w:themeColor="accent1"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3C2A"/>
    <w:pPr>
      <w:spacing w:line="240" w:lineRule="auto"/>
    </w:pPr>
    <w:rPr>
      <w:szCs w:val="20"/>
    </w:rPr>
  </w:style>
  <w:style w:type="character" w:customStyle="1" w:styleId="FootnoteTextChar">
    <w:name w:val="Footnote Text Char"/>
    <w:basedOn w:val="DefaultParagraphFont"/>
    <w:link w:val="FootnoteText"/>
    <w:uiPriority w:val="99"/>
    <w:semiHidden/>
    <w:rsid w:val="00BF3C2A"/>
    <w:rPr>
      <w:rFonts w:ascii="Century Gothic" w:hAnsi="Century Gothic"/>
      <w:sz w:val="20"/>
      <w:szCs w:val="20"/>
    </w:rPr>
  </w:style>
  <w:style w:type="character" w:styleId="FootnoteReference">
    <w:name w:val="footnote reference"/>
    <w:basedOn w:val="DefaultParagraphFont"/>
    <w:uiPriority w:val="99"/>
    <w:semiHidden/>
    <w:unhideWhenUsed/>
    <w:rsid w:val="00BF3C2A"/>
    <w:rPr>
      <w:vertAlign w:val="superscript"/>
    </w:rPr>
  </w:style>
  <w:style w:type="character" w:customStyle="1" w:styleId="bkciteavail">
    <w:name w:val="bk_cite_avail"/>
    <w:basedOn w:val="DefaultParagraphFont"/>
    <w:rsid w:val="002636C7"/>
  </w:style>
  <w:style w:type="paragraph" w:styleId="NormalWeb">
    <w:name w:val="Normal (Web)"/>
    <w:basedOn w:val="Normal"/>
    <w:uiPriority w:val="99"/>
    <w:unhideWhenUsed/>
    <w:rsid w:val="008F00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F00B2"/>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A64165"/>
    <w:pPr>
      <w:spacing w:line="240" w:lineRule="auto"/>
    </w:pPr>
    <w:rPr>
      <w:szCs w:val="20"/>
    </w:rPr>
  </w:style>
  <w:style w:type="character" w:customStyle="1" w:styleId="EndnoteTextChar">
    <w:name w:val="Endnote Text Char"/>
    <w:basedOn w:val="DefaultParagraphFont"/>
    <w:link w:val="EndnoteText"/>
    <w:uiPriority w:val="99"/>
    <w:semiHidden/>
    <w:rsid w:val="00A64165"/>
    <w:rPr>
      <w:rFonts w:ascii="Century Gothic" w:hAnsi="Century Gothic"/>
      <w:sz w:val="20"/>
      <w:szCs w:val="20"/>
    </w:rPr>
  </w:style>
  <w:style w:type="character" w:styleId="EndnoteReference">
    <w:name w:val="endnote reference"/>
    <w:basedOn w:val="DefaultParagraphFont"/>
    <w:uiPriority w:val="99"/>
    <w:semiHidden/>
    <w:unhideWhenUsed/>
    <w:rsid w:val="00A64165"/>
    <w:rPr>
      <w:vertAlign w:val="superscript"/>
    </w:rPr>
  </w:style>
  <w:style w:type="character" w:customStyle="1" w:styleId="Heading1Char">
    <w:name w:val="Heading 1 Char"/>
    <w:basedOn w:val="DefaultParagraphFont"/>
    <w:link w:val="Heading1"/>
    <w:uiPriority w:val="9"/>
    <w:rsid w:val="00506A77"/>
    <w:rPr>
      <w:rFonts w:asciiTheme="majorHAnsi" w:eastAsiaTheme="majorEastAsia" w:hAnsiTheme="majorHAnsi" w:cstheme="majorBidi"/>
      <w:color w:val="1F3864" w:themeColor="accent1" w:themeShade="80"/>
      <w:sz w:val="32"/>
      <w:szCs w:val="32"/>
    </w:rPr>
  </w:style>
  <w:style w:type="paragraph" w:customStyle="1" w:styleId="Body">
    <w:name w:val="Body"/>
    <w:rsid w:val="00506A77"/>
    <w:pPr>
      <w:pBdr>
        <w:top w:val="nil"/>
        <w:left w:val="nil"/>
        <w:bottom w:val="nil"/>
        <w:right w:val="nil"/>
        <w:between w:val="nil"/>
        <w:bar w:val="nil"/>
      </w:pBdr>
      <w:spacing w:after="200" w:line="240" w:lineRule="auto"/>
    </w:pPr>
    <w:rPr>
      <w:rFonts w:ascii="Publico Text Roman" w:eastAsia="Publico Text Roman" w:hAnsi="Publico Text Roman" w:cs="Publico Text Roman"/>
      <w:color w:val="000000"/>
      <w:sz w:val="20"/>
      <w:szCs w:val="2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DA522-8B18-44DF-B583-091B273C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Martin</dc:creator>
  <cp:keywords/>
  <dc:description/>
  <cp:lastModifiedBy>David Martin</cp:lastModifiedBy>
  <cp:revision>4</cp:revision>
  <dcterms:created xsi:type="dcterms:W3CDTF">2021-11-16T13:45:00Z</dcterms:created>
  <dcterms:modified xsi:type="dcterms:W3CDTF">2021-11-16T15:36:00Z</dcterms:modified>
</cp:coreProperties>
</file>